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386f" w14:textId="25d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судов" (прилагается) и внести его для рассмотрения на очередном заседании Совета Евразийской экономической комиссии.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вступают в силу с даты вступления в силу решения Совета Евразийской экономической комиссии,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2014 г.    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200 кВт, но не более 300 кВт: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300 кВт, но не более 500 кВт: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установок кондиционирования воздуха субпозиции 8415 81, 8415 82 или 8415 83,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735 Вт, но не более 150 кВт,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мощностью не более 150 кВт и генераторы,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двигатели постоянного тока мощностью более 75 кВт, но не более 100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735 Вт, но не более 750 Вт,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не более 150 кВт,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поликристаллические полупроводниковые 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не более 7,5 кВА: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входным напряжением постоянного тока не менее 2 кВ, но не более 4 кВ, содержащие четыре выходных канала с суммарной мощностью 386 кВА и с выходными напряжениями переменного тока на одном из каналов 380 В/50 Гц, на другом 456 В/60 Гц и на двух каналах или 380 В/50 Гц, или 240 В/40 Гц, или 95 В/25 Гц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жидким электролитом: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соотношением ширина/высота экрана менее 1,5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Бескодовая подсубпозиция после подсубпозиции 8507 20 800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2014 г.    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+3917 29 000 1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+3917 29 000 9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+7304 49 930 1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+7304 49 930 9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200 кВт, но не более 300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300 кВт, но не более 500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+8415 90 000 2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установок кондиционирования воздуха субпозиции 8415 81, 8415 82 или 8415 83,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+8415 90 000 9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+8481 10 990 1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+8481 10 990 9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+8481 30 990 1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+8481 30 990 9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+8481 80 850 7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+8481 80 850 8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+8501 10 100 1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735 Вт, но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мощностью не более 150 кВт и генераторы,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+8501 33 000 2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двигатели постоянного тока мощностью более 75 кВт, но не более 100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735 Вт, но не более 750 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+8501 52 900 1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+8501 52 900 2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+8501 52 900 9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+8504 40 300 9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поликристаллические полупроводниковые 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не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жидким электролитом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+8507 30 200 9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+8525 60 000 1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+8525 60 000 9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соотношением ширина/высота экрана менее 1,5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2014 г.    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+3917 29 000 1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+3917 29 000 9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+7304 49 930 1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+7304 49 930 9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+7304 49 950 9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200 кВт, но не более 300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8408 90 670 0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300 кВт, но не более 500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+8415 90 000 2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установок кондиционирования воздуха субпозиции 8415 81, 8415 82 или 8415 83,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+8415 90 000 9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+8481 10 990 1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+8481 10 990 9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+8481 30 990 1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+8481 30 990 9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+8481 80 850 7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+8481 80 850 8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+8501 10 100 1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735 Вт, но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мощностью не более 150 кВт и генераторы,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+8501 33 000 2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двигатели постоянного тока мощностью более 75 кВт, но не более 100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+8501 33 000 9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735 Вт, но не более 750 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не более 150 кВт,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+8501 40 800 9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+8501 52 900 1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+8501 52 900 2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+8501 52 900 9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+8504 40 300 9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поликристаллические полупроводниковые выпрямители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8504 40 840 0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не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2,2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2,57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+8507 10 800 9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жидким электролитом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+8507 30 200 9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+8525 60 000 1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+8525 60 000 9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соотношением ширина/высота экрана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1,5,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+8528 49 800 9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+8528 59 800 9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