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386f" w14:textId="25d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судов" (прилагается) и внести его для рассмотрения на очередном заседании Совета Евразийской экономической комиссии.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вступают в силу с даты вступления в силу решения Совета Евразийской экономической комиссии,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2014 г.    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входным напряжением постоянного тока не менее 2 кВ, но не более 4 кВ, содержащие четыре выходных канала с суммарной мощностью 386 кВА и с выходными напряжениями переменного тока на одном из каналов 380 В/50 Гц, на другом 456 В/60 Гц и на двух каналах или 380 В/50 Гц, или 240 В/40 Гц, или 95 В/25 Гц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 менее 1,5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Бескодовая подсубпозиция после подсубпозиции 8507 20 800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2014 г.    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 менее 1,5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2014 г.    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2,2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2,57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