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50e9" w14:textId="d415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целлюлозного полотна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12 марта 2013 года № 36.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Внести в единую Товарную номенклатуру внешнеэкономической деятельности Таможенного союза и </w:t>
      </w:r>
      <w:r>
        <w:rPr>
          <w:rFonts w:ascii="Times New Roman"/>
          <w:b w:val="false"/>
          <w:i w:val="false"/>
          <w:color w:val="000000"/>
          <w:sz w:val="28"/>
        </w:rPr>
        <w:t>Единый таможенный тариф</w:t>
      </w:r>
      <w:r>
        <w:rPr>
          <w:rFonts w:ascii="Times New Roman"/>
          <w:b w:val="false"/>
          <w:i w:val="false"/>
          <w:color w:val="000000"/>
          <w:sz w:val="28"/>
        </w:rPr>
        <w:t xml:space="preserve">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следующие изменения:</w:t>
      </w:r>
    </w:p>
    <w:bookmarkEnd w:id="1"/>
    <w:p>
      <w:pPr>
        <w:spacing w:after="0"/>
        <w:ind w:left="0"/>
        <w:jc w:val="both"/>
      </w:pPr>
      <w:r>
        <w:rPr>
          <w:rFonts w:ascii="Times New Roman"/>
          <w:b w:val="false"/>
          <w:i w:val="false"/>
          <w:color w:val="000000"/>
          <w:sz w:val="28"/>
        </w:rPr>
        <w:t xml:space="preserve">
      а) исключить из единой Товарной номенклатуры внешнеэкономической деятельности Таможенного союза подсубпозиции согласно </w:t>
      </w:r>
      <w:r>
        <w:rPr>
          <w:rFonts w:ascii="Times New Roman"/>
          <w:b w:val="false"/>
          <w:i w:val="false"/>
          <w:color w:val="000000"/>
          <w:sz w:val="28"/>
        </w:rPr>
        <w:t>приложению №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 включить в единую Товарную номенклатуру внешнеэкономической деятельности Таможенного союза подсубпозиции согласно </w:t>
      </w:r>
      <w:r>
        <w:rPr>
          <w:rFonts w:ascii="Times New Roman"/>
          <w:b w:val="false"/>
          <w:i w:val="false"/>
          <w:color w:val="000000"/>
          <w:sz w:val="28"/>
        </w:rPr>
        <w:t>приложению №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p>
      <w:pPr>
        <w:spacing w:after="0"/>
        <w:ind w:left="0"/>
        <w:jc w:val="both"/>
      </w:pPr>
      <w:r>
        <w:rPr>
          <w:rFonts w:ascii="Times New Roman"/>
          <w:b w:val="false"/>
          <w:i w:val="false"/>
          <w:color w:val="000000"/>
          <w:sz w:val="28"/>
        </w:rPr>
        <w:t>
      г) дополнить примечания к единой Товарной номенклатуре внешнеэкономической деятельности Таможенного союза примечанием 15 следующего содержания:</w:t>
      </w:r>
    </w:p>
    <w:p>
      <w:pPr>
        <w:spacing w:after="0"/>
        <w:ind w:left="0"/>
        <w:jc w:val="both"/>
      </w:pPr>
      <w:r>
        <w:rPr>
          <w:rFonts w:ascii="Times New Roman"/>
          <w:b w:val="false"/>
          <w:i w:val="false"/>
          <w:color w:val="000000"/>
          <w:sz w:val="28"/>
        </w:rPr>
        <w:t>
      "15) Технические параметры должны быть подтверждены соответствующей записью в акте заводских испытаний.".</w:t>
      </w:r>
    </w:p>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марта 2013 г. № 36</w:t>
            </w:r>
          </w:p>
        </w:tc>
      </w:tr>
    </w:tbl>
    <w:bookmarkStart w:name="z5" w:id="3"/>
    <w:p>
      <w:pPr>
        <w:spacing w:after="0"/>
        <w:ind w:left="0"/>
        <w:jc w:val="left"/>
      </w:pPr>
      <w:r>
        <w:rPr>
          <w:rFonts w:ascii="Times New Roman"/>
          <w:b/>
          <w:i w:val="false"/>
          <w:color w:val="000000"/>
        </w:rPr>
        <w:t xml:space="preserve"> ПОДСУБПОЗИЦИИ,</w:t>
      </w:r>
      <w:r>
        <w:br/>
      </w:r>
      <w:r>
        <w:rPr>
          <w:rFonts w:ascii="Times New Roman"/>
          <w:b/>
          <w:i w:val="false"/>
          <w:color w:val="000000"/>
        </w:rPr>
        <w:t>исключаемые из единой Товарной номенклатуры внешнеэкономической деятельности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марта 2013 г. № 36</w:t>
            </w:r>
          </w:p>
        </w:tc>
      </w:tr>
    </w:tbl>
    <w:bookmarkStart w:name="z7" w:id="4"/>
    <w:p>
      <w:pPr>
        <w:spacing w:after="0"/>
        <w:ind w:left="0"/>
        <w:jc w:val="left"/>
      </w:pPr>
      <w:r>
        <w:rPr>
          <w:rFonts w:ascii="Times New Roman"/>
          <w:b/>
          <w:i w:val="false"/>
          <w:color w:val="000000"/>
        </w:rPr>
        <w:t xml:space="preserve"> ПОДСУБПОЗИЦИИ,</w:t>
      </w:r>
      <w:r>
        <w:br/>
      </w:r>
      <w:r>
        <w:rPr>
          <w:rFonts w:ascii="Times New Roman"/>
          <w:b/>
          <w:i w:val="false"/>
          <w:color w:val="000000"/>
        </w:rPr>
        <w:t>включаемые в единую Товарную номенклатуру внешнеэкономической деятельности Таможенного союза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полотно из целлюлозных волокон исключительно акации (58 – 62 мас.%) и эвкалипта (38 – 42 мас.%), негофрированное, нетисненое, неперфорированное, с неокрашенной поверхностью, ненапечатанное, в рулонах диаметром не менее 100 см, но не более 150 см, шириной более 36 см, но не более 150 см, массой не менее 45 кг, но не более 400 кг</w:t>
            </w:r>
            <w:r>
              <w:rPr>
                <w:rFonts w:ascii="Times New Roman"/>
                <w:b w:val="false"/>
                <w:i w:val="false"/>
                <w:color w:val="000000"/>
                <w:vertAlign w:val="superscript"/>
              </w:rPr>
              <w:t>15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крепированное полотно массой 1 м</w:t>
            </w:r>
            <w:r>
              <w:rPr>
                <w:rFonts w:ascii="Times New Roman"/>
                <w:b w:val="false"/>
                <w:i w:val="false"/>
                <w:color w:val="000000"/>
                <w:vertAlign w:val="superscript"/>
              </w:rPr>
              <w:t>2</w:t>
            </w:r>
            <w:r>
              <w:rPr>
                <w:rFonts w:ascii="Times New Roman"/>
                <w:b w:val="false"/>
                <w:i w:val="false"/>
                <w:color w:val="000000"/>
                <w:sz w:val="20"/>
              </w:rPr>
              <w:t xml:space="preserve"> каждого слоя не более 25 г из целлюлозных волокон исключительно акации (58 – 62 мас.%) и эвкалипта (38 – 42 мас.%), негофрированное, нетисненое, неперфорированное, с неокрашенной поверхностью, ненапечатанное, в рулонах диаметром не менее 100 см, но не более 150 см, шириной не менее 20 см, но не более 25 см, массой не менее 45 кг, но не более 100 кг</w:t>
            </w:r>
            <w:r>
              <w:rPr>
                <w:rFonts w:ascii="Times New Roman"/>
                <w:b w:val="false"/>
                <w:i w:val="false"/>
                <w:color w:val="000000"/>
                <w:vertAlign w:val="superscript"/>
              </w:rPr>
              <w:t>15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марта 2013 г. № 36</w:t>
            </w:r>
          </w:p>
        </w:tc>
      </w:tr>
    </w:tbl>
    <w:bookmarkStart w:name="z9" w:id="5"/>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 Единого таможенного тарифа Таможенного союза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полотно из целлюлозных волокон исключительно акации </w:t>
            </w:r>
          </w:p>
          <w:p>
            <w:pPr>
              <w:spacing w:after="20"/>
              <w:ind w:left="20"/>
              <w:jc w:val="both"/>
            </w:pPr>
            <w:r>
              <w:rPr>
                <w:rFonts w:ascii="Times New Roman"/>
                <w:b w:val="false"/>
                <w:i w:val="false"/>
                <w:color w:val="000000"/>
                <w:sz w:val="20"/>
              </w:rPr>
              <w:t xml:space="preserve">
(58 – 62 мас.%) и эвкалипта </w:t>
            </w:r>
          </w:p>
          <w:p>
            <w:pPr>
              <w:spacing w:after="20"/>
              <w:ind w:left="20"/>
              <w:jc w:val="both"/>
            </w:pPr>
            <w:r>
              <w:rPr>
                <w:rFonts w:ascii="Times New Roman"/>
                <w:b w:val="false"/>
                <w:i w:val="false"/>
                <w:color w:val="000000"/>
                <w:sz w:val="20"/>
              </w:rPr>
              <w:t xml:space="preserve">
(38 – 42 мас.%), негофрированное, нетисненое, неперфорированное, </w:t>
            </w:r>
          </w:p>
          <w:p>
            <w:pPr>
              <w:spacing w:after="20"/>
              <w:ind w:left="20"/>
              <w:jc w:val="both"/>
            </w:pPr>
            <w:r>
              <w:rPr>
                <w:rFonts w:ascii="Times New Roman"/>
                <w:b w:val="false"/>
                <w:i w:val="false"/>
                <w:color w:val="000000"/>
                <w:sz w:val="20"/>
              </w:rPr>
              <w:t xml:space="preserve">
с неокрашенной поверхностью, ненапечатанное, в рулонах диаметром не менее 100 см, но </w:t>
            </w:r>
          </w:p>
          <w:p>
            <w:pPr>
              <w:spacing w:after="20"/>
              <w:ind w:left="20"/>
              <w:jc w:val="both"/>
            </w:pPr>
            <w:r>
              <w:rPr>
                <w:rFonts w:ascii="Times New Roman"/>
                <w:b w:val="false"/>
                <w:i w:val="false"/>
                <w:color w:val="000000"/>
                <w:sz w:val="20"/>
              </w:rPr>
              <w:t xml:space="preserve">
не более 150 см, шириной более </w:t>
            </w:r>
          </w:p>
          <w:p>
            <w:pPr>
              <w:spacing w:after="20"/>
              <w:ind w:left="20"/>
              <w:jc w:val="both"/>
            </w:pPr>
            <w:r>
              <w:rPr>
                <w:rFonts w:ascii="Times New Roman"/>
                <w:b w:val="false"/>
                <w:i w:val="false"/>
                <w:color w:val="000000"/>
                <w:sz w:val="20"/>
              </w:rPr>
              <w:t>
36 см, но не более 150 см, массой не менее 45 кг, но не более 400 кг</w:t>
            </w:r>
            <w:r>
              <w:rPr>
                <w:rFonts w:ascii="Times New Roman"/>
                <w:b w:val="false"/>
                <w:i w:val="false"/>
                <w:color w:val="000000"/>
                <w:vertAlign w:val="superscript"/>
              </w:rPr>
              <w:t>15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крепированное полотно массой 1 м</w:t>
            </w:r>
            <w:r>
              <w:rPr>
                <w:rFonts w:ascii="Times New Roman"/>
                <w:b w:val="false"/>
                <w:i w:val="false"/>
                <w:color w:val="000000"/>
                <w:vertAlign w:val="superscript"/>
              </w:rPr>
              <w:t>2</w:t>
            </w:r>
            <w:r>
              <w:rPr>
                <w:rFonts w:ascii="Times New Roman"/>
                <w:b w:val="false"/>
                <w:i w:val="false"/>
                <w:color w:val="000000"/>
                <w:sz w:val="20"/>
              </w:rPr>
              <w:t xml:space="preserve"> каждого слоя не более 25 г из целлюлозных волокон исключительно акации (58 – 62 мас.%) и эвкалипта (38 – 42 мас.%), негофрированное, нетисненое, неперфорированное, с неокрашенной поверхностью, ненапечатанное, в рулонах диаметром не менее 100 см, но не более 150 см, шириной не менее 20 см, но не более 25 см, массой не менее 45 кг, но не более 100 кг</w:t>
            </w:r>
            <w:r>
              <w:rPr>
                <w:rFonts w:ascii="Times New Roman"/>
                <w:b w:val="false"/>
                <w:i w:val="false"/>
                <w:color w:val="000000"/>
                <w:vertAlign w:val="superscript"/>
              </w:rPr>
              <w:t>15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