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6d85" w14:textId="c856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 условном освобождении от уплаты таможенных пошлин, налогов в отношении круизного судна, ввозимого на единую таможенную территорию Таможенного союза, с целью его использования в качестве гостиницы для гостей и участников саммита АТЭС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Таможенного кодекса Таможенного союза предоставить полное условное освобождение от уплаты таможенных пошлин, налогов в отношении круизного судна, ввозимого на единую таможенную территорию Таможенного союза, с целью его использования в качестве гостиницы для гостей и участников саммита АТЭС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280 Таможенного кодекса Таможенного союза, установить предельный срок временного ввоза в отношении товара, указанного в пункте 1 настоящего Решения, не более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временного ввоза в отношении товара, указанного в пункте 1 настоящего Решения, свыше 15 календарных дней, применяется частичное освобождение от уплаты таможенных пошлин, налогов в соответствии с Таможенным кодексом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