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d4a3" w14:textId="ad9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графическом изображении единого знака обращения продукции на рынке государств–членов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605. Утратило силу решением Комиссии таможенного союза от 15 июля 2011 года № 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15.07.2011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Принять к сведению информацию об одобрении Координационным комитетом по техническому регулированию, применению санитарных, ветеринарных и фитосанитарных мер проекта Графического изображения единого знака обращения продукции на рынке государств-членов Таможенного союза (далее – </w:t>
      </w:r>
      <w:r>
        <w:rPr>
          <w:rFonts w:ascii="Times New Roman"/>
          <w:b w:val="false"/>
          <w:i w:val="false"/>
          <w:color w:val="000000"/>
          <w:sz w:val="28"/>
        </w:rPr>
        <w:t>Графическое изображение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Рекомендовать Секретариату Интеграционного Комитета Евразийского экономического сообщества внести на утверждение в установленном порядке прилагаемый проект Графического изображения в качестве Графического изображения единого знака обращения продукции на рынке государств-членов Евразийского экономического союза и Таможенного союза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5"/>
        <w:gridCol w:w="4607"/>
        <w:gridCol w:w="4608"/>
      </w:tblGrid>
      <w:tr>
        <w:trPr>
          <w:trHeight w:val="30" w:hRule="atLeast"/>
        </w:trPr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г. № 605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
единого знака обращения продукции на рынке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и Таможенного союза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143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Графического изображения единого знака обращения</w:t>
      </w:r>
      <w:r>
        <w:br/>
      </w:r>
      <w:r>
        <w:rPr>
          <w:rFonts w:ascii="Times New Roman"/>
          <w:b/>
          <w:i w:val="false"/>
          <w:color w:val="000000"/>
        </w:rPr>
        <w:t>
продукции на рынке государств-членов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и Таможенного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единого знака обращения продукции на рынке государств-членов Евразийского экономического сообщества и Таможенного союза EA C может быть расшифровано как Евразийское соответствие (Eurasian Conformity) и представляет собой сочетание трех стилизованных букв "E","A" и "C", графически исполненных с применением прямых углов имеющих одинаковые высоту и ширину, составляющих точные пропорции квадрата (рис. 1), а также вписанных в силуэт квадрата, с промежутками равной толщины на контрастном фоне (рис. 2) с возможностью уменьшения размеров до 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единого знака обращения продукции на рынке государств-членов Евразийского экономического сообщества и Таможенного союза должно быть одноцветным и контрастировать с цветом поверхности, на которую оно нанесено.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