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e7b" w14:textId="82c5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правовом регулировании режима внешней границы государств–членов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"Обустройство и оснащение пунктов пропуска на внешней границе государств – членов Таможенного союза" (далее – Экспертная группа) Гончарова В.И.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целесообразным разработку Единых типовых требований к оборудованию и материально-техническому оснащению зданий, помещений и сооружений, необходимых для организации пограничного, таможенного и иных видов контроля в пунктах пропуска на внешней границе государств – членов Таможенного союза (далее – Единые типовые требования).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Изложить пункт 13 Плана по переносу согласованных видов государственного контроля на внешнюю границу Таможенного союза в части, касающейся казахстанско-российской границы, утвержденного Решением Комиссии Таможенного союза от 21 октября 2009 г. № 106 (в редакции Решения Комиссии Таможенного союза от 26 февраля 2010 года  № 173),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Изложить пункт 14 Плана по переносу согласованных видов государственного контроля на внешнюю границу Таможенного союза в части, касающейся белорусско-российской границы, утвержденного Решением Комиссии Таможенного союза от 25 сентября 2009 г. № 94,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руководителю Экспертной группы Гончарову В.И.: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представить на заседание Комиссии Таможенного союза в январе 2011 года проект Единых типовых требований;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рассмотреть на заседании Экспертной группы проект международного договора о пунктах пропуска на внешней границе государств – членов Таможенного союза, подготовленный Федеральным агентством по обустройству государственной границы Российской Федерации, и направить его до 20 декабря 2010 года в Секретариат Комиссии Таможенного союза.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466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к Плану</w:t>
      </w:r>
      <w:r>
        <w:br/>
      </w:r>
      <w:r>
        <w:rPr>
          <w:rFonts w:ascii="Times New Roman"/>
          <w:b/>
          <w:i w:val="false"/>
          <w:color w:val="000000"/>
        </w:rPr>
        <w:t>по переносу согласованных видов государственного контроля на</w:t>
      </w:r>
      <w:r>
        <w:br/>
      </w:r>
      <w:r>
        <w:rPr>
          <w:rFonts w:ascii="Times New Roman"/>
          <w:b/>
          <w:i w:val="false"/>
          <w:color w:val="000000"/>
        </w:rPr>
        <w:t>внешнюю границу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части, касающейся казахстанско-российской границы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309"/>
        <w:gridCol w:w="2309"/>
        <w:gridCol w:w="3755"/>
      </w:tblGrid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Таможенный контроль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3037"/>
        <w:gridCol w:w="1349"/>
        <w:gridCol w:w="5339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Единых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зданий, помещений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пограничного,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и иных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в пунктах пропуска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 – 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2011 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466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к Плану</w:t>
      </w:r>
      <w:r>
        <w:br/>
      </w:r>
      <w:r>
        <w:rPr>
          <w:rFonts w:ascii="Times New Roman"/>
          <w:b/>
          <w:i w:val="false"/>
          <w:color w:val="000000"/>
        </w:rPr>
        <w:t>по переносу согласованных видов государственного контроля на</w:t>
      </w:r>
      <w:r>
        <w:br/>
      </w:r>
      <w:r>
        <w:rPr>
          <w:rFonts w:ascii="Times New Roman"/>
          <w:b/>
          <w:i w:val="false"/>
          <w:color w:val="000000"/>
        </w:rPr>
        <w:t>внешнюю границу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части, касающейся белорусско-российской границы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2962"/>
        <w:gridCol w:w="1619"/>
        <w:gridCol w:w="5207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Таможенный контроль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 Единых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оборудованию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зданий, помещений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сооружений,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пограничного, таможенного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видов контроля 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пропуска на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государств – 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Росграница,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2011 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