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62e8" w14:textId="2476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Положение о порядке ввоза на таможенную территорию Таможенного союза и вывоза с таможенной территории Таможенного союза шифровальных (криптографических)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сентября 2010 года № 434. Утратило силу решением Коллегии Евразийской экономической комиссии от 16 августа 2012 года № 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 в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ввоза на таможенную территорию Таможенного союза и вывоза с таможенной территории Таможенного союза шифровальных (криптографических) средств к разделу 2.19 Единого перечня товаров, к которым применяются запреты или ограничения на ввоз или вывоз государствами-членами Таможенного союза в рамках ЕврАзЭС в торговле с третьими странами (прилагаются).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4313"/>
        <w:gridCol w:w="431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сентября 2010 года № 434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 в Положение о порядке ввоза на</w:t>
      </w:r>
      <w:r>
        <w:br/>
      </w:r>
      <w:r>
        <w:rPr>
          <w:rFonts w:ascii="Times New Roman"/>
          <w:b/>
          <w:i w:val="false"/>
          <w:color w:val="000000"/>
        </w:rPr>
        <w:t>
таможенную территорию Таможенного союза и вывоза с таможенной</w:t>
      </w:r>
      <w:r>
        <w:br/>
      </w:r>
      <w:r>
        <w:rPr>
          <w:rFonts w:ascii="Times New Roman"/>
          <w:b/>
          <w:i w:val="false"/>
          <w:color w:val="000000"/>
        </w:rPr>
        <w:t>
территории Таможенного союза шифровальных (криптографических)</w:t>
      </w:r>
      <w:r>
        <w:br/>
      </w:r>
      <w:r>
        <w:rPr>
          <w:rFonts w:ascii="Times New Roman"/>
          <w:b/>
          <w:i w:val="false"/>
          <w:color w:val="000000"/>
        </w:rPr>
        <w:t>
средств к разделу 2.19 Единого перечня товаров, к которым</w:t>
      </w:r>
      <w:r>
        <w:br/>
      </w:r>
      <w:r>
        <w:rPr>
          <w:rFonts w:ascii="Times New Roman"/>
          <w:b/>
          <w:i w:val="false"/>
          <w:color w:val="000000"/>
        </w:rPr>
        <w:t>
применяются запреты или ограничения на ввоз или вывоз</w:t>
      </w:r>
      <w:r>
        <w:br/>
      </w:r>
      <w:r>
        <w:rPr>
          <w:rFonts w:ascii="Times New Roman"/>
          <w:b/>
          <w:i w:val="false"/>
          <w:color w:val="000000"/>
        </w:rPr>
        <w:t>
государствами-членами Таможенного союза в рамках ЕврАзЭС в</w:t>
      </w:r>
      <w:r>
        <w:br/>
      </w:r>
      <w:r>
        <w:rPr>
          <w:rFonts w:ascii="Times New Roman"/>
          <w:b/>
          <w:i w:val="false"/>
          <w:color w:val="000000"/>
        </w:rPr>
        <w:t>
торговле с третьими странами.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1.В пункте 7 Положения о порядке ввоза на таможенную территорию Таможенного союза и вывоза с таможенной территории Таможенного союза шифровальных (криптографических) средств (далее – Положение):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абзаце втором слова «и количества»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абзац четвертый дополнить предложениями: «Предоставление исходных кодов не является обязательным требованием. Отказ заявителя в предоставлении исходных кодов не является сам по себе основанием в отказе по заявлению.»;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дополнить абзацем: «Заключение на конкретное шифровальное средство выдается однократно. При этом согласующие органы государства-члена Таможенного союза определяют возможность и условия применения указанного средства.»;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первом абзаце после слов «(разрешительного документа)» дополнить словами: «в соответствии с пунктом 8 настоящего Положения»;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абзац третий дополнить предложениями: «Предоставление исходных кодов не является обязательным требованием. Отказ заявителя в предоставлении исходных кодов не является сам по себе основанием в отказе по заявлению.»;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Дополнить Положение пунктом 9а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«9а. Общий срок получения лицензии уполномоченного органа с учетом проведения экспертизы и получения заключения согласующего органа государства-члена Таможенного союза не должен превышать 90 дней со дня регистрации обращения заявителя в согласующем органе государства-члена Таможенного союза.»;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пункт 11 дополнить следующими абзацами: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«Регистрация нотификации производится автоматически, если согласующий орган государства-члена Таможенного союза не свяжется с заявителем в течении 10 рабочих дней после подачи заявления по вопросам соответствия предоставленных материалов установленным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период с даты подачи материалов на регистрацию нотификации до регистрации нотификации заявитель может внести изменения в нотификацию с визированием этих изменений лицом, подписавшим нотификацию. При этом датой отсчета срока регистрации нотификации считается дата внесения изменений в нотификацию.»;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Дополнить Положение пунктом 14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При рассмотрении материалов заявителей, проведении работ по рассмотрению и регистрации нотификаций, проведении экспертиз шифровальных средств согласующие органы государств-членов Таможенного союза должны обеспечивать сохранение конфиденциальности доверенной им информации и использовать ее только в тех целях, в которых такая информация им представлена».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