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d95f" w14:textId="198d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156.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предложение российской Стороны о корректировке ставок ввозных таможенных пошлин Единого таможенного тарифа таможенного союза в отношении отдельных видов бумаги и картона, поликарбонатов, тропических масел, катушек индуктивности и дросселей, соединенных или не соединенных с конденсатором.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предложение белорусской Стороны об освобождении от уплаты ввозных таможенных пошлин воздушных судов гражданской авиации и товаров, необходимых для их эксплуатации и обслуживания.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в течение двух недель представить свои позиции в Секретариат Комиссии таможенного союза по указанным предложениям.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вопросам регулирования внешней торговли рассмотреть указанные предложения и подготовить их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рассмотрению на очередном заседании Комиссии таможенного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