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d95f" w14:textId="198d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156.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предложение российской Стороны о корректировке ставок ввозных таможенных пошлин Единого таможенного тарифа таможенного союза в отношении отдельных видов бумаги и картона, поликарбонатов, тропических масел, катушек индуктивности и дросселей, соединенных или не соединенных с конденсатором.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предложение белорусской Стороны об освобождении от уплаты ввозных таможенных пошлин воздушных судов гражданской авиации и товаров, необходимых для их эксплуатации и обслуживания.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в течение двух недель представить свои позиции в Секретариат Комиссии таможенного союза по указанным предложениям.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вопросам регулирования внешней торговли рассмотреть указанные предложения и подготовить их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рассмотрению на очередном заседании Комиссии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