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4f39" w14:textId="48c4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23 декабря 2025 года № 25/198 "О бюджетах сел,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мая 2026 года № 29/224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23 декабря 2025 года № 25/198 "О бюджетах сел, сельских округов на 2026 - 2028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сел,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2 875 881,4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272 049,0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2 603 281,4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2 909 741,9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33 860,5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2026 год в бюджеты сел и сельских округов выделена субвенция в сумме 2 603 281,4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554 345,8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105 111,5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176 171,4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127 268,8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194 455,0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269 364,5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254 941,3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338 544,5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119 153,1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193 828,4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197 188,7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72 908,4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522 390,3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Акшымырау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селького округа Онды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Шебир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"18" мая 2026 года № 29/224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Отпан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