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767a" w14:textId="b9b7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и.о. Министра финансов Республики Казахстан от 14 июля 2026 года № 473</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августа 2024 года № 546 "Об утверждении Перечня товаров, работ, услуг, по которым способ осуществления государственных закупок определяется уполномоченным органом" (зарегистрирован в Реестре государственной регистрации нормативных правовых актов под № 34933)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работ, услуг, по которым способ осуществления государственных закупок определяется уполномоченным органом,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августа 2024 года № 593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под № 35018)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 w:id="1"/>
    <w:p>
      <w:pPr>
        <w:spacing w:after="0"/>
        <w:ind w:left="0"/>
        <w:jc w:val="both"/>
      </w:pPr>
      <w:r>
        <w:rPr>
          <w:rFonts w:ascii="Times New Roman"/>
          <w:b w:val="false"/>
          <w:i w:val="false"/>
          <w:color w:val="000000"/>
          <w:sz w:val="28"/>
        </w:rPr>
        <w:t xml:space="preserve">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 </w:t>
      </w:r>
    </w:p>
    <w:bookmarkEnd w:id="1"/>
    <w:bookmarkStart w:name="z10" w:id="2"/>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
    <w:bookmarkStart w:name="z11"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3"/>
    <w:bookmarkStart w:name="z12"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№546</w:t>
            </w:r>
          </w:p>
        </w:tc>
      </w:tr>
    </w:tbl>
    <w:bookmarkStart w:name="z16" w:id="5"/>
    <w:p>
      <w:pPr>
        <w:spacing w:after="0"/>
        <w:ind w:left="0"/>
        <w:jc w:val="left"/>
      </w:pPr>
      <w:r>
        <w:rPr>
          <w:rFonts w:ascii="Times New Roman"/>
          <w:b/>
          <w:i w:val="false"/>
          <w:color w:val="000000"/>
        </w:rPr>
        <w:t xml:space="preserve"> Перечень товаров, работ, услуг, по которым способ осуществления государственных закупок определяется уполномоченным органом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 государственных закупок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технико-экономического обоснования и градостроительных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 осуществляемые аккредитованными экспертными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проектно-сметной (типовой проектно-сметной)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и (или) управлению проектами по строительно-монтажным работам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переработке, обезвреживанию, утилизации и (или) уничтожению опасных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обеспечения единства измерений (поверка, калибровка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права на сообщение для всеобщего сведения по кабелю или передачи в эфир объектов авторского права и (или) смежных прав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bl>
    <w:bookmarkStart w:name="z17" w:id="6"/>
    <w:p>
      <w:pPr>
        <w:spacing w:after="0"/>
        <w:ind w:left="0"/>
        <w:jc w:val="both"/>
      </w:pPr>
      <w:r>
        <w:rPr>
          <w:rFonts w:ascii="Times New Roman"/>
          <w:b w:val="false"/>
          <w:i w:val="false"/>
          <w:color w:val="000000"/>
          <w:sz w:val="28"/>
        </w:rPr>
        <w:t>
      Примечание: Требования настоящего Перечня не распространяется на закупки, осуществляемые в рамках пункта 3 статьи 16 Закона "О государственных закупках".</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2024 года № 593</w:t>
            </w:r>
          </w:p>
        </w:tc>
      </w:tr>
    </w:tbl>
    <w:bookmarkStart w:name="z20" w:id="7"/>
    <w:p>
      <w:pPr>
        <w:spacing w:after="0"/>
        <w:ind w:left="0"/>
        <w:jc w:val="left"/>
      </w:pPr>
      <w:r>
        <w:rPr>
          <w:rFonts w:ascii="Times New Roman"/>
          <w:b/>
          <w:i w:val="false"/>
          <w:color w:val="000000"/>
        </w:rPr>
        <w:t xml:space="preserve">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(пододеяльники, простыни, наволочки, наматрасники)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подушка, матрац, чехол для матраса, плед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 покрывало, полотенце, салфетки текстильные, шторки, шторы, занавески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мужское и женское (пижама, кальсоны, майка, майка с шортами, трусы, носки, портянки, футболка, сорочка ночная, халат и рубашка)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(берет, бейсболка, кепи, кепка, колпак, косынка, шапка, шлем, шляпа,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за исключением джутовых, пленок и пакетов полиэтиленовых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чехлы, полога, тенты (палатки)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легкой промышленности (ткань, кожа, войлок, нитки, нити,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полотенечницы, комоды, кровати,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и школьная мебель (парты ученические, стулья ученические, кровати детские, шкафы детские, мебельные гарнитуры, манежи,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(лабораторные скамьи, табуреты, прочие лабораторные сидения, шкафы, столешницы, стеллажи, полки, тумбы и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мебель (кухонная гарнитура, столешницы, барные стойки, столы-мойки)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(легковой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(летнее, зимнее, арктическое)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периодических печатных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узкополосному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широкополосному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узкополосному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широкополосному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мобильного интернета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местной, междугородней, международной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IP-телефонии с предоставлением виртуальной карты и корпоративного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 земных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подвижной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права на сообщение для всеобщего сведения по кабелю или передачи в эфир объектов авторского права и (или) смежных прав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переработке, обезвреживанию, утилизации, и (или) уничтожению 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обеспечения единства измерений (поверка, калибровка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организации подвоза детей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