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c19b" w14:textId="868c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Байдибек от 14 февраля 2024 года 13/62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2 декабря 2025 года № 35/205</w:t>
      </w:r>
    </w:p>
    <w:p>
      <w:pPr>
        <w:spacing w:after="0"/>
        <w:ind w:left="0"/>
        <w:jc w:val="both"/>
      </w:pPr>
      <w:bookmarkStart w:name="z1" w:id="0"/>
      <w:r>
        <w:rPr>
          <w:rFonts w:ascii="Times New Roman"/>
          <w:b w:val="false"/>
          <w:i w:val="false"/>
          <w:color w:val="000000"/>
          <w:sz w:val="28"/>
        </w:rPr>
        <w:t>
      маслихат района Байдибек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Байдибек от 14 февраля 2024 года №13/62 "Об утверждении Правил оказания социальной помощи, установления размеров и определения перечня отдельных категорий нуждающихся граждан района Байдибек" (зарегистрировано в Реестре государственной регистрации нормативных правовых актов за №6459-13) следующее изменение: </w:t>
      </w:r>
    </w:p>
    <w:bookmarkEnd w:id="1"/>
    <w:bookmarkStart w:name="z3"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Байдибек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"2" декабря 2025 года</w:t>
            </w:r>
            <w:r>
              <w:br/>
            </w:r>
            <w:r>
              <w:rPr>
                <w:rFonts w:ascii="Times New Roman"/>
                <w:b w:val="false"/>
                <w:i w:val="false"/>
                <w:color w:val="000000"/>
                <w:sz w:val="20"/>
              </w:rPr>
              <w:t>№35/205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"14" февраля 2024 года</w:t>
            </w:r>
            <w:r>
              <w:br/>
            </w:r>
            <w:r>
              <w:rPr>
                <w:rFonts w:ascii="Times New Roman"/>
                <w:b w:val="false"/>
                <w:i w:val="false"/>
                <w:color w:val="000000"/>
                <w:sz w:val="20"/>
              </w:rPr>
              <w:t>№13/62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района Байдибек.</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Байдибек,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Байдибек;</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района Байдибек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 5 000 000 теңге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4 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социальная помощь ежемесячно в двукратном размере прожиточного минимума;</w:t>
      </w:r>
    </w:p>
    <w:p>
      <w:pPr>
        <w:spacing w:after="0"/>
        <w:ind w:left="0"/>
        <w:jc w:val="both"/>
      </w:pPr>
      <w:r>
        <w:rPr>
          <w:rFonts w:ascii="Times New Roman"/>
          <w:b w:val="false"/>
          <w:i w:val="false"/>
          <w:color w:val="000000"/>
          <w:sz w:val="28"/>
        </w:rPr>
        <w:t>
      2) лицам, страдающим туберкулезным заболеванием в период амбулаторного лечения, по списку предоставляемым государственным коммунальным предприятием на праве хозяйственного ведения "Центральная больница района Байдибек" Управления здравоохранения Туркестанской области- ежемесячно, 10 месячных расчетных показателей.</w:t>
      </w:r>
    </w:p>
    <w:p>
      <w:pPr>
        <w:spacing w:after="0"/>
        <w:ind w:left="0"/>
        <w:jc w:val="both"/>
      </w:pPr>
      <w:r>
        <w:rPr>
          <w:rFonts w:ascii="Times New Roman"/>
          <w:b w:val="false"/>
          <w:i w:val="false"/>
          <w:color w:val="000000"/>
          <w:sz w:val="28"/>
        </w:rPr>
        <w:t>
      3)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4)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5)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1 раз в год в размере 3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ветеранам, приравненным по льготам к ветеранам Великой Отечественной войны, одиноким пенсионерам, вышедшим на пенсию по возрасту, для получения путевок на санаторно-курортное лечение в соответствии с очередностью, утвержденной руководителем уполномоченного органа, на основании заявления - единовременно в размере 65 месячных расчетных показателей;</w:t>
      </w:r>
    </w:p>
    <w:p>
      <w:pPr>
        <w:spacing w:after="0"/>
        <w:ind w:left="0"/>
        <w:jc w:val="both"/>
      </w:pPr>
      <w:r>
        <w:rPr>
          <w:rFonts w:ascii="Times New Roman"/>
          <w:b w:val="false"/>
          <w:i w:val="false"/>
          <w:color w:val="000000"/>
          <w:sz w:val="28"/>
        </w:rPr>
        <w:t>
      7) лицам, больным злокачественными новообразованиями,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8)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в размере 40 месячных расчетных показателей;</w:t>
      </w:r>
    </w:p>
    <w:p>
      <w:pPr>
        <w:spacing w:after="0"/>
        <w:ind w:left="0"/>
        <w:jc w:val="both"/>
      </w:pPr>
      <w:r>
        <w:rPr>
          <w:rFonts w:ascii="Times New Roman"/>
          <w:b w:val="false"/>
          <w:i w:val="false"/>
          <w:color w:val="000000"/>
          <w:sz w:val="28"/>
        </w:rPr>
        <w:t>
      9)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10) малообеспеченным семьям, со среднедушевым доходом, не превышающего порога в кратном отношении к прожиточному минимуму единовременно в размере - 15 месячных расчетных показателей;</w:t>
      </w:r>
    </w:p>
    <w:p>
      <w:pPr>
        <w:spacing w:after="0"/>
        <w:ind w:left="0"/>
        <w:jc w:val="both"/>
      </w:pPr>
      <w:r>
        <w:rPr>
          <w:rFonts w:ascii="Times New Roman"/>
          <w:b w:val="false"/>
          <w:i w:val="false"/>
          <w:color w:val="000000"/>
          <w:sz w:val="28"/>
        </w:rPr>
        <w:t>
      11) лицам, освобожденным из мест лишения свободыи состоящим на учете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12) для возмещения стоимости пребывания в санаторно-курортной организации – сопровождающему одновременно одного и более ребенка с инвалидностью на санаторно-курортное лечение, единовременно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13) в связи с причинением ущерба гражданину (семье) либо его имуществу вследствие стихийного бедствия или пожара- единовременно в размере 200 (двести) месячных расчетных показателей;</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срок обращения за социальной помощью в течение трех месяцев с момента возникновения трудной жизненной ситуации.</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района Байдибек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Байдибек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района Байдибек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района Байдибек;</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18.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