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05c" w14:textId="1b38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 на 2025 - 2027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20 мая 2025 года № 1/23. Утратило силу решением Петропавловского городского маслихата Северо-Казахстанской области от 11 июня 2025 года № 4/24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11.06.2025 </w:t>
      </w:r>
      <w:r>
        <w:rPr>
          <w:rFonts w:ascii="Times New Roman"/>
          <w:b w:val="false"/>
          <w:i w:val="false"/>
          <w:color w:val="ff0000"/>
          <w:sz w:val="28"/>
        </w:rPr>
        <w:t>№ 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Петропавловска на 2025 – 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69 084 700,6 тысяч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28 231 229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936 863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8 379 975,5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31 536 633,1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75 365 156,9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5 930 456,3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-5 930 456,3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9 746 023,3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4 744 741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929 174 тысячи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772 171,1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Петропавловского городского маслихата: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25 декабря 2024 года № 1/19 "Об утверждении бюджета города Петропавловска на 2025-2027 годы";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февраля 2025 года № 3/21 "О внесении изменений в решение Петропавловского городского маслихата от 25 декабря 2024 года № 1/19 "Об утверждении бюджета города Петропавловска на 2025-2027 годы".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1/23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69 084 700,6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31 536 633,1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75 365 156,9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33 565 851,5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2 454 556,6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-5 930 456,3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9 746 023,3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1/23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1/23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