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3992" w14:textId="e723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cервитута частной компании "Midgard Mining Limited"</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19 ноября 2025 года № 395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площадью- 442,1592 гектаров, расположенных на землях Каркаралинского района Карагандинской области без изъятия земельных участков сроком до 25 сентября 2031 года для проведения операций по разведке твердых полезных ископаемых частной компании "Midgard Mining Limited",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Частной компании "Midgard Mining Limited" (по согласованию) обеспечить возмещение убытков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Срок проведения разведочных работ, их конкретное место, обязанностей по приведению земель в состояние,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 обязаны представить в исправном состоянии.</w:t>
      </w:r>
    </w:p>
    <w:bookmarkEnd w:id="3"/>
    <w:bookmarkStart w:name="z8" w:id="4"/>
    <w:p>
      <w:pPr>
        <w:spacing w:after="0"/>
        <w:ind w:left="0"/>
        <w:jc w:val="both"/>
      </w:pPr>
      <w:r>
        <w:rPr>
          <w:rFonts w:ascii="Times New Roman"/>
          <w:b w:val="false"/>
          <w:i w:val="false"/>
          <w:color w:val="000000"/>
          <w:sz w:val="28"/>
        </w:rPr>
        <w:t>
      4. Государственному учреждению "Отдел земельных отношений Каркаралинского района" принять меры, вытекающие из настоящего постановления.</w:t>
      </w:r>
    </w:p>
    <w:bookmarkEnd w:id="4"/>
    <w:bookmarkStart w:name="z9" w:id="5"/>
    <w:p>
      <w:pPr>
        <w:spacing w:after="0"/>
        <w:ind w:left="0"/>
        <w:jc w:val="both"/>
      </w:pPr>
      <w:r>
        <w:rPr>
          <w:rFonts w:ascii="Times New Roman"/>
          <w:b w:val="false"/>
          <w:i w:val="false"/>
          <w:color w:val="000000"/>
          <w:sz w:val="28"/>
        </w:rPr>
        <w:t>
      5. Контроль за исполнением данного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6. Настоящее постановление вступает в силу и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 ____ от "___" ____ 2025 года</w:t>
            </w:r>
          </w:p>
        </w:tc>
      </w:tr>
    </w:tbl>
    <w:bookmarkStart w:name="z13" w:id="7"/>
    <w:p>
      <w:pPr>
        <w:spacing w:after="0"/>
        <w:ind w:left="0"/>
        <w:jc w:val="left"/>
      </w:pPr>
      <w:r>
        <w:rPr>
          <w:rFonts w:ascii="Times New Roman"/>
          <w:b/>
          <w:i w:val="false"/>
          <w:color w:val="000000"/>
        </w:rPr>
        <w:t xml:space="preserve"> Перечень земельных участков, на которые устанавливается публичный сервитут частной компании "Midgard Mining Limited"</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лицензий),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Н.Абдирова Уахитов 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