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3400" w14:textId="3fa3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постоянно проживающим в Жамбылской области при амбулаторном лечении бесплатно и (или) на льготных условиях</w:t>
      </w:r>
    </w:p>
    <w:p>
      <w:pPr>
        <w:spacing w:after="0"/>
        <w:ind w:left="0"/>
        <w:jc w:val="both"/>
      </w:pPr>
      <w:r>
        <w:rPr>
          <w:rFonts w:ascii="Times New Roman"/>
          <w:b w:val="false"/>
          <w:i w:val="false"/>
          <w:color w:val="000000"/>
          <w:sz w:val="28"/>
        </w:rPr>
        <w:t>Решение маслихата Жамбылской области от 25 сентября 2025 года № 26-6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12 Кодекса Республики Казахстан "О здоровье народа и системе здравоохранения" и приказом Министра здравоохранения Республики Казахстан от 20 октября 2020 года </w:t>
      </w:r>
      <w:r>
        <w:rPr>
          <w:rFonts w:ascii="Times New Roman"/>
          <w:b w:val="false"/>
          <w:i w:val="false"/>
          <w:color w:val="000000"/>
          <w:sz w:val="28"/>
        </w:rPr>
        <w:t>№ ҚР ДСМ - 142/2020</w:t>
      </w:r>
      <w:r>
        <w:rPr>
          <w:rFonts w:ascii="Times New Roman"/>
          <w:b w:val="false"/>
          <w:i w:val="false"/>
          <w:color w:val="000000"/>
          <w:sz w:val="28"/>
        </w:rPr>
        <w:t xml:space="preserve"> "Об утверждении перечня орфанных заболеваний и лекарственных средств для их лечения (орфанных)" Жамбылский областной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перечень дополнительно предоставляемого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постоянно проживающим в Жамбылской области при амбулаторном лечении бесплатно и (или) на льготных условиях,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Признать утратившими силу решения Жамбылского областного маслихата от 12 декабря 2024 года № 20-11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постоянно проживающим в Жамбылской области при амбулаторном лечении бесплатно".</w:t>
      </w:r>
    </w:p>
    <w:bookmarkEnd w:id="0"/>
    <w:bookmarkStart w:name="z7" w:id="1"/>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Жамбылского 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сентября 2025 года № 26-6</w:t>
            </w:r>
          </w:p>
        </w:tc>
      </w:tr>
    </w:tbl>
    <w:bookmarkStart w:name="z12" w:id="2"/>
    <w:p>
      <w:pPr>
        <w:spacing w:after="0"/>
        <w:ind w:left="0"/>
        <w:jc w:val="left"/>
      </w:pPr>
      <w:r>
        <w:rPr>
          <w:rFonts w:ascii="Times New Roman"/>
          <w:b/>
          <w:i w:val="false"/>
          <w:color w:val="000000"/>
        </w:rPr>
        <w:t xml:space="preserve"> Перечень дополнительно предоставляемого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постоянно проживающим в Жамбылской области при амбулаторном лечении бесплатно и (или) на льготных условиях</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Заболевание (группа) по международной классификации болезней 10-го пересмотра –</w:t>
            </w:r>
          </w:p>
          <w:bookmarkEnd w:id="3"/>
          <w:p>
            <w:pPr>
              <w:spacing w:after="20"/>
              <w:ind w:left="20"/>
              <w:jc w:val="both"/>
            </w:pPr>
            <w:r>
              <w:rPr>
                <w:rFonts w:ascii="Times New Roman"/>
                <w:b w:val="false"/>
                <w:i w:val="false"/>
                <w:color w:val="000000"/>
                <w:sz w:val="20"/>
              </w:rPr>
              <w:t>
(далее - МКБ-10)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Синонимы и названия редких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Авелумаб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С71.0</w:t>
            </w:r>
          </w:p>
          <w:bookmarkEnd w:id="4"/>
          <w:p>
            <w:pPr>
              <w:spacing w:after="20"/>
              <w:ind w:left="20"/>
              <w:jc w:val="both"/>
            </w:pPr>
            <w:r>
              <w:rPr>
                <w:rFonts w:ascii="Times New Roman"/>
                <w:b w:val="false"/>
                <w:i w:val="false"/>
                <w:color w:val="000000"/>
                <w:sz w:val="20"/>
              </w:rPr>
              <w:t>
 – С71.9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Глиальные опухоли высокой степени злокачественности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мозга, кроме долей и желудочков. Злокачественное новообразование лобной доли. Злокачественное новообразование височной доли. Злокачественное новообразование теменной доли. Злокачественное новообразование желудочка мозга. Злокачественное новообразование мозжечка. Злокачественное новообразование ствола мозга. Поражение, выходящее за пределы одной и более вышеуказанных локализаций головного мозга. Злокачественное новообразование головного мозга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без уточнения локализации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(лимфогранулематоз)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Пралатрексат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иммунопролиферативные болезни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Макроглобулинемия Вальденстрема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 и злокачественные плазмоклеточные новообразования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лейкоз (лимфолейкоз)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лимфобластный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Пэгаспаргиназа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лейкоз (лимфолейкоз)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лимфоцитарный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лейкоз (лимфолейкоз)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Волосатоклеточный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Пентостатин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Миелоидный лейкоз (миелолейкоз)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миелоидный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С92.0 C92.4 С92.5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Миелоидный лейкоз (миелолейкоз)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Острый промиелоцитарный лейкоз Острый миеломоноцитарный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Миелоидный лейкоз (миелолейкоз)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Миелоидная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Миелоидный лейкоз (миелолейкоз)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Миелодиспластические синдромы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хронический миеломоноцитарный лейкоз, рефрактерная анемия, рефрактерная анемия с избытком бластов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 (кроличий)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ночная гемоглобинурия (Маркиафавы-Микели)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ночная гемоглобинурия (Маркиафавы-Микели)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Ангиогемофилия Дефицит фактора VIII с сосудистым нарушением Сосудистая гемофилия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в комбинации с высоким содержанием фактора Виллебранда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других факторов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афибриногенемия, дефицит фактора VII (стабильного) дефицит фактора II (протромбина) дефицит фактора X (Стюарта-Прауэра)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Жизненно важные лекарственные средства по заключению врача(не предусмотренные по ГОБМП)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тромбоцитопеническая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Эванса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Ромипластим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Швахмана-Даймонда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панкретическая недостаточность. Гипоплазия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D80</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D84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нарушения, вовлекающие иммунный механизм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иммунодефициты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С1-эстеразы человеческий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внесосудистого введения)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гипогликемии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 (инсулинома), Гиперинсулинизм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фенилкетонурия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Наследственное заболевание группы ферментопатий, связанное с нарушением метаболизма аминокислоты фенилаланина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цикла мочевины, Цитруллинемия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цикла мочевины, Цитруллинемия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фенилбутират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накопления гликогена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Помпе (гликогеноз 2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сфинголипидозы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Фабри (-Андерсон), болезнь Гаучера (болезнь Гоше), болезнь Краббе, болезнь Нимана-Пика (тип А, В, С), синдром Фабера, метахроматическая лейкодистрофия, недостаточность сульфатазы (множественная сульфатазная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копропорфирия, порфирия острая перемежающаяся (печеночная)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меди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Менкеса, болезнь Вильсона (болезнь Вильсона-Коновалова, гепатолентикулярная дегенерация)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 дигидрохлорид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 E84.0 E84.1 E84.8 Е84.9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Нарушение обмена веществ</w:t>
            </w:r>
          </w:p>
          <w:bookmarkEnd w:id="6"/>
          <w:p>
            <w:pPr>
              <w:spacing w:after="20"/>
              <w:ind w:left="20"/>
              <w:jc w:val="both"/>
            </w:pPr>
            <w:r>
              <w:rPr>
                <w:rFonts w:ascii="Times New Roman"/>
                <w:b w:val="false"/>
                <w:i w:val="false"/>
                <w:color w:val="000000"/>
                <w:sz w:val="20"/>
              </w:rPr>
              <w:t>
 (Дети, находящиеся под динамическим наблюдением)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комбинированная форма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Ивакафтор, тезакафтор, элексакафтор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на основе гидролизованного белка молочной сыворотки для диетического лечебного питания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семейный амилоидоз без невропатии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средиземноморская лихорадка (периодическая болезнь), наследственная амилоидная нефропатия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белков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-1- антитрипсина, бис -альбуминемия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 антитрипсин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G12</w:t>
            </w:r>
          </w:p>
          <w:bookmarkEnd w:id="7"/>
          <w:p>
            <w:pPr>
              <w:spacing w:after="20"/>
              <w:ind w:left="20"/>
              <w:jc w:val="both"/>
            </w:pPr>
            <w:r>
              <w:rPr>
                <w:rFonts w:ascii="Times New Roman"/>
                <w:b w:val="false"/>
                <w:i w:val="false"/>
                <w:color w:val="000000"/>
                <w:sz w:val="20"/>
              </w:rPr>
              <w:t>
G12.2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двигательного неврона. Семейная болезнь двигательного неврона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склероз амиотрофический, прогрессирующая спинальная мышечная атрофия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или приобретенная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 –G71.3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нервно-мышечного синапса и мышц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дистрофия: аутосомная рецессивная типа Дюшенна или Беккера, лопаточно-перонеальная с ранними контрактурами (Эмери-Дрейфуса), дистальная плечелопаточно-лицевая, конечностно-поясная, глазных мышц, глазоглоточная (окулофарингеальная). Дистрофия миотоническая Штейнера. Миотония врожденная Томсена. Нейромиотония Исаакса. Парамиотония врожденная. Врожденная мышечная дистрофия: со специфическими морфологическими поражениями мышечного волокна. Болезнь центрального ядра, миниядерная, мультиядерная Диспропорция типов волокон. Миопатия миотубулярная (центроядерная), немалиновая (болезнь немалинового тела). Митохондриальная миопатия,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дефицита Glut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дефицита транспортера глюкозы Glut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Тригептаноин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 J84.0 J84.1 J84.8 J84.9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интерстициальные легочные болезни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легочная болезнь, альвеолярные и парието-альвеолярные нарушения, альвеолярный протеиноз, легочный альвеолярный микролитиаз, диффузный легочный фиброз, фиброзирующий альвеолит криптогенный, синдром Хаммена-Рича, идиопатический легочный фиброз, лимфангиолейомио- матоз, интерстициальная пневмония уточненная, интерстициальная легочная болезнь неуточненная,интерстициальная пневмония без дополнительного уточнения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I27.0</w:t>
            </w:r>
          </w:p>
          <w:bookmarkEnd w:id="8"/>
          <w:p>
            <w:pPr>
              <w:spacing w:after="20"/>
              <w:ind w:left="20"/>
              <w:jc w:val="both"/>
            </w:pPr>
            <w:r>
              <w:rPr>
                <w:rFonts w:ascii="Times New Roman"/>
                <w:b w:val="false"/>
                <w:i w:val="false"/>
                <w:color w:val="000000"/>
                <w:sz w:val="20"/>
              </w:rPr>
              <w:t>
I27.2 I28.1 I28.8 I28.9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гипертензия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легочная гипертензия, Другая вторичная легочная гипертензия, Аневризма легочной артерии, Другие уточненные болезни легочных сосудов, Болезнь легочных сосудов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K51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Неинфекционный энтерит и колит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Болезнь Крона, неспецифический язвенный коли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Целиакия</w:t>
            </w:r>
          </w:p>
          <w:bookmarkEnd w:id="9"/>
          <w:p>
            <w:pPr>
              <w:spacing w:after="20"/>
              <w:ind w:left="20"/>
              <w:jc w:val="both"/>
            </w:pPr>
            <w:r>
              <w:rPr>
                <w:rFonts w:ascii="Times New Roman"/>
                <w:b w:val="false"/>
                <w:i w:val="false"/>
                <w:color w:val="000000"/>
                <w:sz w:val="20"/>
              </w:rPr>
              <w:t>
(Дети, находящиеся под динамическим наблюдением)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Глютеновая энтеропатия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Безглютеновые сухие завтраки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мучная для выпечки хлеба без глютена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мучная универсальная без глютена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без глютена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без глютена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без глютена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Буллезные нарушения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болезнь Дюринга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Афамеланотид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 L20.8 L20.9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Атопический дерматит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 Другие атопические дерматиты, Атопический дерматит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Дупилумаб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Криопирин-ассоциированные периодические синдромы (CAPS)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 – связаные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Стилла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Стилла, развившаяся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 M08.0M08.1М08.2М08.3M08.4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(ювенильный) идиопатический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Юношеский ревматоидный артрит Ювенильный ревматоидный артрит с ревматоидным фактором или без него,</w:t>
            </w:r>
          </w:p>
          <w:bookmarkEnd w:id="10"/>
          <w:p>
            <w:pPr>
              <w:spacing w:after="20"/>
              <w:ind w:left="20"/>
              <w:jc w:val="both"/>
            </w:pPr>
            <w:r>
              <w:rPr>
                <w:rFonts w:ascii="Times New Roman"/>
                <w:b w:val="false"/>
                <w:i w:val="false"/>
                <w:color w:val="000000"/>
                <w:sz w:val="20"/>
              </w:rPr>
              <w:t>
Юношеский анкилозирующий спондилит, Юношеский артрит с системным началом Болезнь Стилла БДУ, Юношеский полиартрит (серонегативный) Хронический ювенильный полиартрит, Пауциартикулярный юношеский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М30.3</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М31.3</w:t>
            </w:r>
          </w:p>
          <w:p>
            <w:pPr>
              <w:spacing w:after="20"/>
              <w:ind w:left="20"/>
              <w:jc w:val="both"/>
            </w:pPr>
            <w:r>
              <w:rPr>
                <w:rFonts w:ascii="Times New Roman"/>
                <w:b w:val="false"/>
                <w:i w:val="false"/>
                <w:color w:val="000000"/>
                <w:sz w:val="20"/>
              </w:rPr>
              <w:t>
</w:t>
            </w:r>
            <w:r>
              <w:rPr>
                <w:rFonts w:ascii="Times New Roman"/>
                <w:b w:val="false"/>
                <w:i w:val="false"/>
                <w:color w:val="000000"/>
                <w:sz w:val="20"/>
              </w:rPr>
              <w:t>М31.4</w:t>
            </w:r>
          </w:p>
          <w:p>
            <w:pPr>
              <w:spacing w:after="20"/>
              <w:ind w:left="20"/>
              <w:jc w:val="both"/>
            </w:pPr>
            <w:r>
              <w:rPr>
                <w:rFonts w:ascii="Times New Roman"/>
                <w:b w:val="false"/>
                <w:i w:val="false"/>
                <w:color w:val="000000"/>
                <w:sz w:val="20"/>
              </w:rPr>
              <w:t>
</w:t>
            </w:r>
            <w:r>
              <w:rPr>
                <w:rFonts w:ascii="Times New Roman"/>
                <w:b w:val="false"/>
                <w:i w:val="false"/>
                <w:color w:val="000000"/>
                <w:sz w:val="20"/>
              </w:rPr>
              <w:t>М31.8</w:t>
            </w:r>
          </w:p>
          <w:p>
            <w:pPr>
              <w:spacing w:after="20"/>
              <w:ind w:left="20"/>
              <w:jc w:val="both"/>
            </w:pPr>
            <w:r>
              <w:rPr>
                <w:rFonts w:ascii="Times New Roman"/>
                <w:b w:val="false"/>
                <w:i w:val="false"/>
                <w:color w:val="000000"/>
                <w:sz w:val="20"/>
              </w:rPr>
              <w:t>
</w:t>
            </w:r>
            <w:r>
              <w:rPr>
                <w:rFonts w:ascii="Times New Roman"/>
                <w:b w:val="false"/>
                <w:i w:val="false"/>
                <w:color w:val="000000"/>
                <w:sz w:val="20"/>
              </w:rPr>
              <w:t>М32</w:t>
            </w:r>
          </w:p>
          <w:p>
            <w:pPr>
              <w:spacing w:after="20"/>
              <w:ind w:left="20"/>
              <w:jc w:val="both"/>
            </w:pPr>
            <w:r>
              <w:rPr>
                <w:rFonts w:ascii="Times New Roman"/>
                <w:b w:val="false"/>
                <w:i w:val="false"/>
                <w:color w:val="000000"/>
                <w:sz w:val="20"/>
              </w:rPr>
              <w:t>
</w:t>
            </w:r>
            <w:r>
              <w:rPr>
                <w:rFonts w:ascii="Times New Roman"/>
                <w:b w:val="false"/>
                <w:i w:val="false"/>
                <w:color w:val="000000"/>
                <w:sz w:val="20"/>
              </w:rPr>
              <w:t>М32.0</w:t>
            </w:r>
          </w:p>
          <w:p>
            <w:pPr>
              <w:spacing w:after="20"/>
              <w:ind w:left="20"/>
              <w:jc w:val="both"/>
            </w:pPr>
            <w:r>
              <w:rPr>
                <w:rFonts w:ascii="Times New Roman"/>
                <w:b w:val="false"/>
                <w:i w:val="false"/>
                <w:color w:val="000000"/>
                <w:sz w:val="20"/>
              </w:rPr>
              <w:t>
</w:t>
            </w:r>
            <w:r>
              <w:rPr>
                <w:rFonts w:ascii="Times New Roman"/>
                <w:b w:val="false"/>
                <w:i w:val="false"/>
                <w:color w:val="000000"/>
                <w:sz w:val="20"/>
              </w:rPr>
              <w:t>М32.1</w:t>
            </w:r>
          </w:p>
          <w:p>
            <w:pPr>
              <w:spacing w:after="20"/>
              <w:ind w:left="20"/>
              <w:jc w:val="both"/>
            </w:pPr>
            <w:r>
              <w:rPr>
                <w:rFonts w:ascii="Times New Roman"/>
                <w:b w:val="false"/>
                <w:i w:val="false"/>
                <w:color w:val="000000"/>
                <w:sz w:val="20"/>
              </w:rPr>
              <w:t>
</w:t>
            </w:r>
            <w:r>
              <w:rPr>
                <w:rFonts w:ascii="Times New Roman"/>
                <w:b w:val="false"/>
                <w:i w:val="false"/>
                <w:color w:val="000000"/>
                <w:sz w:val="20"/>
              </w:rPr>
              <w:t>М32.8</w:t>
            </w:r>
          </w:p>
          <w:p>
            <w:pPr>
              <w:spacing w:after="20"/>
              <w:ind w:left="20"/>
              <w:jc w:val="both"/>
            </w:pPr>
            <w:r>
              <w:rPr>
                <w:rFonts w:ascii="Times New Roman"/>
                <w:b w:val="false"/>
                <w:i w:val="false"/>
                <w:color w:val="000000"/>
                <w:sz w:val="20"/>
              </w:rPr>
              <w:t>
</w:t>
            </w:r>
            <w:r>
              <w:rPr>
                <w:rFonts w:ascii="Times New Roman"/>
                <w:b w:val="false"/>
                <w:i w:val="false"/>
                <w:color w:val="000000"/>
                <w:sz w:val="20"/>
              </w:rPr>
              <w:t>М32.9</w:t>
            </w:r>
          </w:p>
          <w:p>
            <w:pPr>
              <w:spacing w:after="20"/>
              <w:ind w:left="20"/>
              <w:jc w:val="both"/>
            </w:pPr>
            <w:r>
              <w:rPr>
                <w:rFonts w:ascii="Times New Roman"/>
                <w:b w:val="false"/>
                <w:i w:val="false"/>
                <w:color w:val="000000"/>
                <w:sz w:val="20"/>
              </w:rPr>
              <w:t>
</w:t>
            </w:r>
            <w:r>
              <w:rPr>
                <w:rFonts w:ascii="Times New Roman"/>
                <w:b w:val="false"/>
                <w:i w:val="false"/>
                <w:color w:val="000000"/>
                <w:sz w:val="20"/>
              </w:rPr>
              <w:t>М33</w:t>
            </w:r>
          </w:p>
          <w:p>
            <w:pPr>
              <w:spacing w:after="20"/>
              <w:ind w:left="20"/>
              <w:jc w:val="both"/>
            </w:pPr>
            <w:r>
              <w:rPr>
                <w:rFonts w:ascii="Times New Roman"/>
                <w:b w:val="false"/>
                <w:i w:val="false"/>
                <w:color w:val="000000"/>
                <w:sz w:val="20"/>
              </w:rPr>
              <w:t>
</w:t>
            </w:r>
            <w:r>
              <w:rPr>
                <w:rFonts w:ascii="Times New Roman"/>
                <w:b w:val="false"/>
                <w:i w:val="false"/>
                <w:color w:val="000000"/>
                <w:sz w:val="20"/>
              </w:rPr>
              <w:t>М33.2</w:t>
            </w:r>
          </w:p>
          <w:p>
            <w:pPr>
              <w:spacing w:after="20"/>
              <w:ind w:left="20"/>
              <w:jc w:val="both"/>
            </w:pPr>
            <w:r>
              <w:rPr>
                <w:rFonts w:ascii="Times New Roman"/>
                <w:b w:val="false"/>
                <w:i w:val="false"/>
                <w:color w:val="000000"/>
                <w:sz w:val="20"/>
              </w:rPr>
              <w:t>
</w:t>
            </w:r>
            <w:r>
              <w:rPr>
                <w:rFonts w:ascii="Times New Roman"/>
                <w:b w:val="false"/>
                <w:i w:val="false"/>
                <w:color w:val="000000"/>
                <w:sz w:val="20"/>
              </w:rPr>
              <w:t>М34.0</w:t>
            </w:r>
          </w:p>
          <w:p>
            <w:pPr>
              <w:spacing w:after="20"/>
              <w:ind w:left="20"/>
              <w:jc w:val="both"/>
            </w:pPr>
            <w:r>
              <w:rPr>
                <w:rFonts w:ascii="Times New Roman"/>
                <w:b w:val="false"/>
                <w:i w:val="false"/>
                <w:color w:val="000000"/>
                <w:sz w:val="20"/>
              </w:rPr>
              <w:t>
М35.2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Слизисто-кожный лимфонодулярный синдром (Кавасаки); Гранулематоз Вегенера; Синдром дуги аорты (Такаясу); Микроскопический полиангиит; Системная красная волчанка, Лекарственная системная красная волчанка, Системная красная волчанка с поражением других органов или систем, Другие формы системной красной волчанки, Системная красная волчанка неуточненная; Юношеский дерматомиозит, Полимиозит, Системный склероз; Болезнь Бехчета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дыхательного расстройства у новорожденного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дистресс синдром (РДС)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Бронхолегочная дисплазия, возникшая в перинатальном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Бронхолегочная дисплазия, возникшая в перинатальном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Q77.4 Q78.0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Ахондроплазия, Незавершенный остеогенез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xml:space="preserve">
Ахондроплазия, </w:t>
            </w:r>
          </w:p>
          <w:bookmarkEnd w:id="12"/>
          <w:p>
            <w:pPr>
              <w:spacing w:after="20"/>
              <w:ind w:left="20"/>
              <w:jc w:val="both"/>
            </w:pPr>
            <w:r>
              <w:rPr>
                <w:rFonts w:ascii="Times New Roman"/>
                <w:b w:val="false"/>
                <w:i w:val="false"/>
                <w:color w:val="000000"/>
                <w:sz w:val="20"/>
              </w:rPr>
              <w:t>
Незавершенный остеогенез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Восоритид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Ибандроновая кислота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Q80</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Q80.9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 (разные формы), CHILD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Салициловая кислота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мазь 500г. (Epaderm Ointment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крем 500г. (Epaderm Cream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Декспантенол ("Бепантен", "Пантодерм", "Депантол",</w:t>
            </w:r>
          </w:p>
          <w:bookmarkEnd w:id="14"/>
          <w:p>
            <w:pPr>
              <w:spacing w:after="20"/>
              <w:ind w:left="20"/>
              <w:jc w:val="both"/>
            </w:pPr>
            <w:r>
              <w:rPr>
                <w:rFonts w:ascii="Times New Roman"/>
                <w:b w:val="false"/>
                <w:i w:val="false"/>
                <w:color w:val="000000"/>
                <w:sz w:val="20"/>
              </w:rPr>
              <w:t>
"Гидротен")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Q81 Q81.0 Q81.1</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Q81.2</w:t>
            </w:r>
          </w:p>
          <w:p>
            <w:pPr>
              <w:spacing w:after="20"/>
              <w:ind w:left="20"/>
              <w:jc w:val="both"/>
            </w:pPr>
            <w:r>
              <w:rPr>
                <w:rFonts w:ascii="Times New Roman"/>
                <w:b w:val="false"/>
                <w:i w:val="false"/>
                <w:color w:val="000000"/>
                <w:sz w:val="20"/>
              </w:rPr>
              <w:t>
</w:t>
            </w:r>
            <w:r>
              <w:rPr>
                <w:rFonts w:ascii="Times New Roman"/>
                <w:b w:val="false"/>
                <w:i w:val="false"/>
                <w:color w:val="000000"/>
                <w:sz w:val="20"/>
              </w:rPr>
              <w:t>Q81.8</w:t>
            </w:r>
          </w:p>
          <w:p>
            <w:pPr>
              <w:spacing w:after="20"/>
              <w:ind w:left="20"/>
              <w:jc w:val="both"/>
            </w:pPr>
            <w:r>
              <w:rPr>
                <w:rFonts w:ascii="Times New Roman"/>
                <w:b w:val="false"/>
                <w:i w:val="false"/>
                <w:color w:val="000000"/>
                <w:sz w:val="20"/>
              </w:rPr>
              <w:t>
Q81.9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Буллезный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6"/>
          <w:p>
            <w:pPr>
              <w:spacing w:after="20"/>
              <w:ind w:left="20"/>
              <w:jc w:val="both"/>
            </w:pPr>
            <w:r>
              <w:rPr>
                <w:rFonts w:ascii="Times New Roman"/>
                <w:b w:val="false"/>
                <w:i w:val="false"/>
                <w:color w:val="000000"/>
                <w:sz w:val="20"/>
              </w:rPr>
              <w:t>
БуллҰзный эпидермолиз,</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Эпидермолиз буллезный простой (исключен: синдром Коккейна(Q87.1)),</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Эпидермолиз буллезный летальный (Синдром Херлица),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Эпидермолиз буллезный дистрофический, другой буллезный эпидермолиз,</w:t>
            </w:r>
          </w:p>
          <w:p>
            <w:pPr>
              <w:spacing w:after="20"/>
              <w:ind w:left="20"/>
              <w:jc w:val="both"/>
            </w:pPr>
            <w:r>
              <w:rPr>
                <w:rFonts w:ascii="Times New Roman"/>
                <w:b w:val="false"/>
                <w:i w:val="false"/>
                <w:color w:val="000000"/>
                <w:sz w:val="20"/>
              </w:rPr>
              <w:t>
Буллезный эпидермолиз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Диацереин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Октенидин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питание ("Пептамен Джуниор", "Клинутрен Джуниор", "Нутриэн Иммун", " Педиа Шур")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Mepitel 10см х 18см.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Lite 20x50 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Lite 15см х 15см.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Mepilex Transfer 20см х 50см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Mepitac 4см х 1,5м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Hydrosorb-гидрогелевые повязки 20х20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Hydrocoll- гидроколлоидная поаязка, 10х10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Коллагеновая губка с диоксометилтетрагидропиримидином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Гразолинд- сетчатая покрывающая повязка 10х20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Повитекс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("Судокрем")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("Мометокс")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Флуоцинолона ацетонид ("Синафлан")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Метилурацил ("Офломелид")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Сульфатиазол серебра ("Аргосульфан")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 неомицин ("Банеоцин")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гиалуронат (Куриозин)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("Целестодерм")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защитный ZABOTA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Zabota Kids Детские влажные салфетки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кожи ("ZABOTA", "Нилтак")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Моющий лосьон ("Эземтан")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Декспантенол ("Бепантен", "Пантодерм", "Депантол",</w:t>
            </w:r>
          </w:p>
          <w:bookmarkEnd w:id="17"/>
          <w:p>
            <w:pPr>
              <w:spacing w:after="20"/>
              <w:ind w:left="20"/>
              <w:jc w:val="both"/>
            </w:pPr>
            <w:r>
              <w:rPr>
                <w:rFonts w:ascii="Times New Roman"/>
                <w:b w:val="false"/>
                <w:i w:val="false"/>
                <w:color w:val="000000"/>
                <w:sz w:val="20"/>
              </w:rPr>
              <w:t>
"Гидротен")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стерильная (о/р 18G 1,2х40мл)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Mesoft - Салфетка 10см х 20см., №2</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XS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S/M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S/M Adult-M/L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T/Fast Gloves M/L Adult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Green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Blue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Yellow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Tubifast 2-Way Stretch Purple 10m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мазь 500г. (Epaderm Ointment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Эпадерм крем 500г. (Epaderm Cream 500g)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Воскопран 10 х 10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4см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6см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8см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10см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медицинский эластичный фиксирующий EM-Fix Lux 12см х 4м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EM-FIX HAFT 8см х 20м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Branolind (Бранолинд) 10см х 20см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ATRAUMAN AG 10см х 20см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G40.0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G40.9 Q85.1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и резистентные формы эпилепсии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Раннее младенческие эпилептические энцефалопатии (инфантильные спазмы – Синдром Веста); Туберозный склероз (Болезнь Бурневилля); Синдром Ландау-Клеффнера; Эпилептические энцефалопатии детства (Синдром Леннокса-Гасто); Симптоматическая ранняя миоклоническая энцефалопатия (Синдром Отахара); Эпилепсия со статусом в медленном сне; Ранняя миоклоническая эпилепсия; Эпилепсия с миоклоническими абсансами (синдром Тассинари); миоклонически-астатическими приступами (синдром Дузе) Синдром Драве;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Адренокортикоидный гормон (АКТГ)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1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I (первого) типа (нейрофиброматоз болезнь фон Реклингхаузена, синдром Реклингхаузена, NF-1)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(болезнь Девика)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(болезнь Девика, Нейромиелит зрительного нерва со спектральным расстройством (NMOSD), Нейромиелит зрительного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С34-</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С34.9</w:t>
            </w:r>
          </w:p>
          <w:p>
            <w:pPr>
              <w:spacing w:after="20"/>
              <w:ind w:left="20"/>
              <w:jc w:val="both"/>
            </w:pPr>
            <w:r>
              <w:rPr>
                <w:rFonts w:ascii="Times New Roman"/>
                <w:b w:val="false"/>
                <w:i w:val="false"/>
                <w:color w:val="000000"/>
                <w:sz w:val="20"/>
              </w:rPr>
              <w:t>
С47.3 С47.4 С47.5 С47.6 С47.8 С47.9 С48.0 С74.0 С74.1 С74.9 С76.0 С76.1 С76.2 С76.7 С76.8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 легкого. Нейробластома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 легкого, Злокачественное новообразование главных бронхов, киля трахеи, корня легкого, Злокачественное новообразование верхней доли, бронхов или легкого, Злокачественное новообразование средней доли, бронхов или легкого, Злокачественное новообразование нижней доли, бронхов или легкого, Поражение бронхов или легкого, выходящее за пределы одной и более вышеуказанных локализаций, Злокачественное новообразование бронхов или легкого неуточненной локализации. Нейробластома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С 50</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С50.9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Злокачественное новообразование соска и околососкового кружка молочной железы; Злокачественное новообразование центральной части молочной железы; Злокачественное новообразование верхне внутреннего квадранта молочной железы; Злокачественное новообразование нижне внутреннего квадранта молочной железы; Злокачественное новообразование верхне наружного квадранта молочной железы; Злокачественное новообразование нижне наружного квадранта молочной железы; Злокачественное новообразование подмышечной задней части молочной железы; Поражение молочной железы, выходящее за пределы одной и более вышеуказанных локализаций; Злокачественное новообразование молочной железы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