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cdf9" w14:textId="590c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Алгинского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2025 года № 351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Алгинский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- 6 805 764,5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платежи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3 701 536,5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- 6 737 510,7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382 874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638 539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- 255 665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-314 620,2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314 620,2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638 539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866 034,3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542 115,5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по индивидуальному подоходному налогу с доходов, облагаемых у источника полностью зачисляются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по социальному налогу полностью зачисляются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по корпоративному подоходному налогу с юридических лиц, за исключением поступлений от организаций нефтяного сектора полностью зачисляются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по индивидуальному подоходному налогу с доходов, не облагаемых у источника выплаты зачисляются полностью в бюджеты города районного значения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поступления по индивидуальному подоходному налогу с доходов иностранных граждан, не облагаемых у источника выплаты полностью зачисляются в районный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расчета размера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объемы субвенции, передаваемые из областного бюджета в сумме - 1 900 974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объемы субвенций, передаваемых из районного бюджета в бюджеты города и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кредитов из республиканского бюджета на реализацию мер социальной поддержки специалистов.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целевые текущие трансферты бюджетам города и сельских округов: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- 148 027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6 805 764,5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-395 414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-394 104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субвенций, передаваемых из районного бюджета в бюджеты города и сельских округов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