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5849" w14:textId="70f5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жилищных комиссий и работы информационной системы Службы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Службы государственной охраны Республики Казахстан от 27 августа 2025 года № 11-163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и работы информационной системы Службы государственной охраны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финансового обеспечения Службы государственной охраны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Службы государственной охраны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Начальника Службы государственной охраны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Службы государственной охраны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государственной охраны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Начальника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жилищных комиссий и работы информационной системы Службы государственной охраны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жилищных комиссий и работы информационной системы Службы государственной охраны Республики Казахстан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жилищных отношениях" (далее – Закон) и определяют порядок деятельности жилищных комиссий Службы государственной охраны Республики Казахстан (далее – жилищная комиссия) и работы информационной системы.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Жилищные комиссии являются коллегиальными органами Службы государственной охраны Республики Казахстан (далее – Служба) и воинской части 0116 Сил особого назначения Службы, действующими на постоянной основе и уполномоченными на вынесение решений по жилищным вопросам.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жилищной комиссии утверждается приказом уполномоченного должностного лица Службы либо первого руководителя воинской части 0116 Сил особого назначения Службы.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комиссия формируется из нечетного количества не менее пяти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комиссия состоит из председателя, заместителя председателя и членов жилищной комиссии.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жилищной комиссии его функции исполняет заместитель председателя жилищной комиссии.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жилищной комиссии не является членом жилищной комиссии и не имеет право голоса.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жилищной комиссии входят: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жилищной комиссии – первый руководитель либо его заместитель;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жилищной комиссии – руководитель финансового подразделения;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члены жилищной комиссии: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кадрового подразделения;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подразделения;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иных подразделений;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жилищной комиссии.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жилищной комиссии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Задачей жилищной комиссии является принятие решения по жилищным вопросам сотрудников, военнослужащих, работников Службы, лиц, уволенных со Службы и членов их семей (далее – претенденты) в соответствии с жилищным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Деятельность жилищной комиссии включает в себя: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 претендентов по вопросам: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признания нуждающимися в жилище (за исключением лиц, уволенных со Службы);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назначения, возврата, перерасчета, прекращения (за исключением случаев, предусмотренных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101-4 Закона), приостановления и возобновления жилищных выплат;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служебного жилища в порядке очередности (за исключением лиц, уволенных со Службы);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приватизации служебного жилища;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ранее предоставленного в наем служебного жилища;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найма служебного жилища;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жилищного обеспечения в пределах своей компетенции;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рассмотрение представленных документов;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об удовлетворении обращения претендента, либо вынесение мотивированного отказа претенденту;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изменений, дополнений или отмена ранее принятых решений жилищной комиссии на основании судебных актов, актов проверок и результатов служебного расследования;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запросов в компетентные органы и иные организации для получения необходимой информации по претендентам;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разъяснений от претендентов, а также представителей подразделений, не входящих в состав жилищной комиссии.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комиссия заседает не реже одного раза в квартал.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жилищной комиссии правомочно, если оно принято двумя третями из числа присутствующих членов.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жилищной комиссии, обладают равными голосами при принятии решения. В случае равенства голосов, принятым считается решение, за которое проголосовал председатель жилищной комиссии, при его отсутствии – заместитель председателя жилищной комиссии.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жилищной комиссии принимаются открытым голосованием – "за" или "против" – большинством голосов от общего числа состава жилищной комиссии, присутствующего на ее заседании и имеющего право голоса.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организации деятельности жилищной комиссии назначается секретарь жилищной комиссии из числа сотрудников ответственного структурного подразделения, на которого возложены следующие функции: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претендентов, признанных нуждающимися в жилище;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получателей жилищных выплат;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служебных жилищ;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материалов на заседание жилищной комиссии;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и ведение дел (материалов) претендентов.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жилищной комиссии: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одного рабочего дня до заседания жилищной комиссии извещается жилищная комиссия о дате, месте и времени проведения заседания жилищной комиссии;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ведется протокол заседания жилищной комиссии по форме согласно приложению 8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доводится до сведения претендентов решение жилищной комиссии.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заседания подписывается всеми членами жилищной комиссии, присутствующими на заседании.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по каждому претенденту отдельно.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информационной системы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Информационная система Службы (далее – ИС) предназначена для учета, хранения, обработки и анализа данных претендентов и обеспечивает централизованный сбор, систематизацию информации, необходимой для принятия решений жилищной комиссией.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данных в систему осуществляется секретарем жилищной комиссии на основании решений жилищной комиссии.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Работа ИС осуществляется в соответствии с законодательством Республики Казахстан об информатизации и о персональных данных и их защите.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Доступ к ИС предоставляется уполномоченным сотрудником с правом контролировать и выполнять соответствующие операции в рамках своей компетенции.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 включают в себя следующие функции: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учета – регистрация и фиксация данных о претендентах для последующего анализа и принятия решений;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данных – безопасное и долговременное хранение персональной и служебной информации с обеспечением ее конфиденциальности и защиты;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данных – автоматизированная проверка, сортировка и структурирование сведений, поступающих от сотрудников и военнослужащих;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данных – проведение автоматизированной оценки, сравнения и обобщения информации для подготовки решений жилищной комиссии и формирования отчетности;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централизованного сбора – обеспечение централизованного приема и объединения данных из предоставленных документов в единый структурированный массив;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систематизации информации – упорядочивание и классификация поступающих данных по установленным признакам (категориям, статусам, срокам, очередности) с последующей подготовкой к обработке и анализу.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Жилищная комиссия прекращает свою деятельность при ликвидации либо реорганизации государственного учреждения.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