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22df" w14:textId="b722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таргетируемой убыточности и фактора достоверности, используемых для расчета страховой премии по обязательному страхованию гражданско-правовой ответственности владельцев транспортных средств в соответствии с Законом Республики Казахстан "Об обязательном страховании гражданско-правовой ответственности владельцев транспортных средств",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сентября 2025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2026 год: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таргетируемую убыточность, используемую для расчета страховой премии по обязательному страхованию гражданско-правовой ответственности владельцев транспортных средств, в размере 65 (шестидесяти пяти) процентов;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фактор достоверности, используемый для расчета страховой премии по обязательному страхованию гражданско-правовой ответственности владельцев транспортных средств, в размере 10 (десяти) процентов.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постановления до сведения Акционерного общества "Государственное кредитное бюро" и заинтересованных подразделений Агентства Республики Казахстан по регулированию и развитию финансового рынка;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