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22df" w14:textId="b722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таргетируемой убыточности и фактора достоверности, используемых для расчета страховой премии по обязательному страхованию гражданско-правовой ответственности владельцев транспортных средств в соответствии с Законом Республики Казахстан "Об обязательном страховании гражданско-правовой ответственности владельцев транспортных средств",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сентября 2025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 государственном регулировании, контроле и надзоре финансового рынка и финансовых организаций" и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обязательном страховании гражданско-правовой ответственности владельцев транспортных средств"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2026 год: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таргетируемую убыточность, используемую для расчета страховой премии по обязательному страхованию гражданско-правовой ответственности владельцев транспортных средств, в размере 65 (шестидесяти пяти) процентов;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фактор достоверности, используемый для расчета страховой премии по обязательному страхованию гражданско-правовой ответственности владельцев транспортных средств, в размере 10 (десяти) процентов.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постановления до сведения Акционерного общества "Государственное кредитное бюро" и заинтересованных подразделений Агентства Республики Казахстан по регулированию и развитию финансового рынка;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