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94da" w14:textId="19f9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Мамлютка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37/2. Утратило силу решением маслихата Мамлютского района Северо-Казахстанской области от 19 мая 2025 года № 42/2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Мамлютка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–227628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108918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118183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228784,5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1156,5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районного значения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 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формируется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города районного значения.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города районного значения формируются за счет следующих поступлений от продажи основного капитала: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Мамлютка на 2025 год целевые текущие трансферты передаваемые из вышестоящего бюджета в сумме 118183 тысяч тенге.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Направить свободные остатки бюджетных средств, сложившихся на 1 января 2025 года в сумме 1156,5 тысяч тенге на расходы по бюджетным программам,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2025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