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a2c66" w14:textId="54a2c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пороговых значений розничных цен на социально значимые продовольственные товары на первый квартал 2024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13 февраля 2024 года № 09/06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акимат Карагандинский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пороговые значения розничных цен на социально значимые продовольственные товары на первый квартал 2024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Карагандинской области.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09/06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Пороговые цены на 1 квартал 2024 года Карагандинской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производителей, оптовиков на основании коммерческих предложений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 производители/оптовики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средние/мелкие производители/оптовики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отпускная цена (производителя и отптовика) за кг/л/дес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торговой надбавки 1 в размере не более 15%, за кг/л/дес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торговой надбавки 2 в размере не более 15%, за кг/л/дес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логистические затраты*, за кг/л/дес 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затраты на хранение, за кг/л/дес 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Пороговая цена за кг/л/дес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(весовые)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шлифованный, полированный (весовой)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(весовая)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подсолнечное, литр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несоленое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лопаточногрудная часть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(бедренная и берцовая кость с прилегающей к ней мякотью)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 2,5%, литр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2,5%, литр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2,5%, литр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Яйца, 1 категории, десяток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