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f768" w14:textId="fcaf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управления коммунальными отходами города Каратау Таласского района на 2024-2028 годы</w:t>
      </w:r>
    </w:p>
    <w:p>
      <w:pPr>
        <w:spacing w:after="0"/>
        <w:ind w:left="0"/>
        <w:jc w:val="both"/>
      </w:pPr>
      <w:r>
        <w:rPr>
          <w:rFonts w:ascii="Times New Roman"/>
          <w:b w:val="false"/>
          <w:i w:val="false"/>
          <w:color w:val="000000"/>
          <w:sz w:val="28"/>
        </w:rPr>
        <w:t>Решение Таласского районного маслихата Жамбылской области от 13 марта 2024 года № 17-4</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 пункта 3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15) пункта 1 статьи 6 Закона Республики Казахстан "Об утверждении методических рекомендаций местным исполнительным органам по разработке программы по обращению с коммунальными отходами" в соответствии с приказом министра природных ресурсов и природных ресурсов от 18 мая 2023 года №154-п" Таласский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программу управления коммунальными отходами Таласского района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9" w:id="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bookmarkStart w:name="z11" w:id="1"/>
    <w:p>
      <w:pPr>
        <w:spacing w:after="0"/>
        <w:ind w:left="0"/>
        <w:jc w:val="both"/>
      </w:pPr>
      <w:r>
        <w:rPr>
          <w:rFonts w:ascii="Times New Roman"/>
          <w:b w:val="false"/>
          <w:i w:val="false"/>
          <w:color w:val="000000"/>
          <w:sz w:val="28"/>
        </w:rPr>
        <w:t>
      СОДЕРЖАНИЕ</w:t>
      </w:r>
    </w:p>
    <w:bookmarkEnd w:id="1"/>
    <w:bookmarkStart w:name="z12" w:id="2"/>
    <w:p>
      <w:pPr>
        <w:spacing w:after="0"/>
        <w:ind w:left="0"/>
        <w:jc w:val="both"/>
      </w:pPr>
      <w:r>
        <w:rPr>
          <w:rFonts w:ascii="Times New Roman"/>
          <w:b w:val="false"/>
          <w:i w:val="false"/>
          <w:color w:val="000000"/>
          <w:sz w:val="28"/>
        </w:rPr>
        <w:t>
      1. АНАЛИЗ ТЕКУЩЕГО СОСТОЯНИЯ УПРАВЛЕНИЯ ОТХОДАМИ</w:t>
      </w:r>
    </w:p>
    <w:bookmarkEnd w:id="2"/>
    <w:bookmarkStart w:name="z13" w:id="3"/>
    <w:p>
      <w:pPr>
        <w:spacing w:after="0"/>
        <w:ind w:left="0"/>
        <w:jc w:val="both"/>
      </w:pPr>
      <w:r>
        <w:rPr>
          <w:rFonts w:ascii="Times New Roman"/>
          <w:b w:val="false"/>
          <w:i w:val="false"/>
          <w:color w:val="000000"/>
          <w:sz w:val="28"/>
        </w:rPr>
        <w:t>
      1.1. Оценка текущего состояния управления отходами</w:t>
      </w:r>
    </w:p>
    <w:bookmarkEnd w:id="3"/>
    <w:bookmarkStart w:name="z14" w:id="4"/>
    <w:p>
      <w:pPr>
        <w:spacing w:after="0"/>
        <w:ind w:left="0"/>
        <w:jc w:val="both"/>
      </w:pPr>
      <w:r>
        <w:rPr>
          <w:rFonts w:ascii="Times New Roman"/>
          <w:b w:val="false"/>
          <w:i w:val="false"/>
          <w:color w:val="000000"/>
          <w:sz w:val="28"/>
        </w:rPr>
        <w:t>
      1.2. Анализ управления отходами в динамике за последние три года</w:t>
      </w:r>
    </w:p>
    <w:bookmarkEnd w:id="4"/>
    <w:bookmarkStart w:name="z15" w:id="5"/>
    <w:p>
      <w:pPr>
        <w:spacing w:after="0"/>
        <w:ind w:left="0"/>
        <w:jc w:val="both"/>
      </w:pPr>
      <w:r>
        <w:rPr>
          <w:rFonts w:ascii="Times New Roman"/>
          <w:b w:val="false"/>
          <w:i w:val="false"/>
          <w:color w:val="000000"/>
          <w:sz w:val="28"/>
        </w:rPr>
        <w:t>
      1.3. Анализ мероприятий по управлению отходами</w:t>
      </w:r>
    </w:p>
    <w:bookmarkEnd w:id="5"/>
    <w:bookmarkStart w:name="z16" w:id="6"/>
    <w:p>
      <w:pPr>
        <w:spacing w:after="0"/>
        <w:ind w:left="0"/>
        <w:jc w:val="both"/>
      </w:pPr>
      <w:r>
        <w:rPr>
          <w:rFonts w:ascii="Times New Roman"/>
          <w:b w:val="false"/>
          <w:i w:val="false"/>
          <w:color w:val="000000"/>
          <w:sz w:val="28"/>
        </w:rPr>
        <w:t>
      1.4. Анализ экономических аспектов.</w:t>
      </w:r>
    </w:p>
    <w:bookmarkEnd w:id="6"/>
    <w:bookmarkStart w:name="z17" w:id="7"/>
    <w:p>
      <w:pPr>
        <w:spacing w:after="0"/>
        <w:ind w:left="0"/>
        <w:jc w:val="both"/>
      </w:pPr>
      <w:r>
        <w:rPr>
          <w:rFonts w:ascii="Times New Roman"/>
          <w:b w:val="false"/>
          <w:i w:val="false"/>
          <w:color w:val="000000"/>
          <w:sz w:val="28"/>
        </w:rPr>
        <w:t>
      2. ЦЕЛИ, ЗАДАЧИ И ЦЕЛЕВЫЕ ПОКАЗАТЕЛИ ПРОГРАММЫ</w:t>
      </w:r>
    </w:p>
    <w:bookmarkEnd w:id="7"/>
    <w:bookmarkStart w:name="z18" w:id="8"/>
    <w:p>
      <w:pPr>
        <w:spacing w:after="0"/>
        <w:ind w:left="0"/>
        <w:jc w:val="both"/>
      </w:pPr>
      <w:r>
        <w:rPr>
          <w:rFonts w:ascii="Times New Roman"/>
          <w:b w:val="false"/>
          <w:i w:val="false"/>
          <w:color w:val="000000"/>
          <w:sz w:val="28"/>
        </w:rPr>
        <w:t>
      2.1. Цели и задачи Программы</w:t>
      </w:r>
    </w:p>
    <w:bookmarkEnd w:id="8"/>
    <w:bookmarkStart w:name="z19" w:id="9"/>
    <w:p>
      <w:pPr>
        <w:spacing w:after="0"/>
        <w:ind w:left="0"/>
        <w:jc w:val="both"/>
      </w:pPr>
      <w:r>
        <w:rPr>
          <w:rFonts w:ascii="Times New Roman"/>
          <w:b w:val="false"/>
          <w:i w:val="false"/>
          <w:color w:val="000000"/>
          <w:sz w:val="28"/>
        </w:rPr>
        <w:t>
      2.2. Пути достижения поставленных целей и задач</w:t>
      </w:r>
    </w:p>
    <w:bookmarkEnd w:id="9"/>
    <w:bookmarkStart w:name="z20" w:id="10"/>
    <w:p>
      <w:pPr>
        <w:spacing w:after="0"/>
        <w:ind w:left="0"/>
        <w:jc w:val="both"/>
      </w:pPr>
      <w:r>
        <w:rPr>
          <w:rFonts w:ascii="Times New Roman"/>
          <w:b w:val="false"/>
          <w:i w:val="false"/>
          <w:color w:val="000000"/>
          <w:sz w:val="28"/>
        </w:rPr>
        <w:t>
      2.3. Целевые показатели Программы.</w:t>
      </w:r>
    </w:p>
    <w:bookmarkEnd w:id="10"/>
    <w:bookmarkStart w:name="z21" w:id="11"/>
    <w:p>
      <w:pPr>
        <w:spacing w:after="0"/>
        <w:ind w:left="0"/>
        <w:jc w:val="both"/>
      </w:pPr>
      <w:r>
        <w:rPr>
          <w:rFonts w:ascii="Times New Roman"/>
          <w:b w:val="false"/>
          <w:i w:val="false"/>
          <w:color w:val="000000"/>
          <w:sz w:val="28"/>
        </w:rPr>
        <w:t>
      3. ОСНОВНЫЕ НАПРАВЛЕНИЯ, ПУТИ ДОСТИЖЕНИЯ ПОСТАВЛЕННОЙ ЦЕЛИ И СООТВЕТСТВУЮЩИЕ МЕРЫ.</w:t>
      </w:r>
    </w:p>
    <w:bookmarkEnd w:id="11"/>
    <w:bookmarkStart w:name="z22" w:id="12"/>
    <w:p>
      <w:pPr>
        <w:spacing w:after="0"/>
        <w:ind w:left="0"/>
        <w:jc w:val="both"/>
      </w:pPr>
      <w:r>
        <w:rPr>
          <w:rFonts w:ascii="Times New Roman"/>
          <w:b w:val="false"/>
          <w:i w:val="false"/>
          <w:color w:val="000000"/>
          <w:sz w:val="28"/>
        </w:rPr>
        <w:t>
      4. НЕОБХОДИМЫЕ РЕСУРСЫ.</w:t>
      </w:r>
    </w:p>
    <w:bookmarkEnd w:id="12"/>
    <w:bookmarkStart w:name="z23" w:id="13"/>
    <w:p>
      <w:pPr>
        <w:spacing w:after="0"/>
        <w:ind w:left="0"/>
        <w:jc w:val="both"/>
      </w:pPr>
      <w:r>
        <w:rPr>
          <w:rFonts w:ascii="Times New Roman"/>
          <w:b w:val="false"/>
          <w:i w:val="false"/>
          <w:color w:val="000000"/>
          <w:sz w:val="28"/>
        </w:rPr>
        <w:t>
      5. ПЛАН МЕРОПРИЯТИЙ ПО РЕАЛИЗАЦИИ ПРОГРАММЫ</w:t>
      </w:r>
    </w:p>
    <w:bookmarkEnd w:id="13"/>
    <w:bookmarkStart w:name="z24" w:id="14"/>
    <w:p>
      <w:pPr>
        <w:spacing w:after="0"/>
        <w:ind w:left="0"/>
        <w:jc w:val="left"/>
      </w:pPr>
      <w:r>
        <w:rPr>
          <w:rFonts w:ascii="Times New Roman"/>
          <w:b/>
          <w:i w:val="false"/>
          <w:color w:val="000000"/>
        </w:rPr>
        <w:t xml:space="preserve"> ВВЕДЕНИЕ</w:t>
      </w:r>
    </w:p>
    <w:bookmarkEnd w:id="14"/>
    <w:bookmarkStart w:name="z25" w:id="15"/>
    <w:p>
      <w:pPr>
        <w:spacing w:after="0"/>
        <w:ind w:left="0"/>
        <w:jc w:val="both"/>
      </w:pPr>
      <w:r>
        <w:rPr>
          <w:rFonts w:ascii="Times New Roman"/>
          <w:b w:val="false"/>
          <w:i w:val="false"/>
          <w:color w:val="000000"/>
          <w:sz w:val="28"/>
        </w:rPr>
        <w:t>
      Программа управления отходами – важный программный документ, в который включена информация о состоянии системы сбора, хранения, транспортировки, утилизации и переработки отходов, а также цели, задачи и показатели по совершенствованию этой системы и мероприятия по их достижению.</w:t>
      </w:r>
    </w:p>
    <w:bookmarkEnd w:id="15"/>
    <w:bookmarkStart w:name="z26" w:id="16"/>
    <w:p>
      <w:pPr>
        <w:spacing w:after="0"/>
        <w:ind w:left="0"/>
        <w:jc w:val="both"/>
      </w:pPr>
      <w:r>
        <w:rPr>
          <w:rFonts w:ascii="Times New Roman"/>
          <w:b w:val="false"/>
          <w:i w:val="false"/>
          <w:color w:val="000000"/>
          <w:sz w:val="28"/>
        </w:rPr>
        <w:t>
      Программа управления отходами разработан в целях предоставления и оценки системы образования, сбора, хранения, транспортировки, утилизации, переработки и размещения отходов. В нем рассмотрены все основные производственные процессы, такие как источники образования отходов, типы и виды образующихся отходов, методы переработки отходов, пути их утилизации.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335</w:t>
      </w:r>
      <w:r>
        <w:rPr>
          <w:rFonts w:ascii="Times New Roman"/>
          <w:b w:val="false"/>
          <w:i w:val="false"/>
          <w:color w:val="000000"/>
          <w:sz w:val="28"/>
        </w:rPr>
        <w:t xml:space="preserve"> Экологического Кодекса, операторы объектов I и (или) II категорий, а также лица, осуществляющие операции по сортировке, обработке, в том числе по обезвреживанию, восстановлению и (или) удалению отходов, обязаны разрабатывать программу управления отходами в соответствии с правилами, утвержденными уполномоченным органом в области охраны окружающей среды.</w:t>
      </w:r>
    </w:p>
    <w:bookmarkStart w:name="z28" w:id="17"/>
    <w:p>
      <w:pPr>
        <w:spacing w:after="0"/>
        <w:ind w:left="0"/>
        <w:jc w:val="both"/>
      </w:pPr>
      <w:r>
        <w:rPr>
          <w:rFonts w:ascii="Times New Roman"/>
          <w:b w:val="false"/>
          <w:i w:val="false"/>
          <w:color w:val="000000"/>
          <w:sz w:val="28"/>
        </w:rPr>
        <w:t>
      Программа выполнена в соответствии с требованиями Правил разработки программы, утвержденными приказом и.о. Министра экологии, геологии и природных ресурсов Республики Казахстан от 9 августа 2021 года №318 (далее – Правила).</w:t>
      </w:r>
    </w:p>
    <w:bookmarkEnd w:id="17"/>
    <w:bookmarkStart w:name="z29" w:id="18"/>
    <w:p>
      <w:pPr>
        <w:spacing w:after="0"/>
        <w:ind w:left="0"/>
        <w:jc w:val="both"/>
      </w:pPr>
      <w:r>
        <w:rPr>
          <w:rFonts w:ascii="Times New Roman"/>
          <w:b w:val="false"/>
          <w:i w:val="false"/>
          <w:color w:val="000000"/>
          <w:sz w:val="28"/>
        </w:rPr>
        <w:t>
      Сроки реализации Программы: 2024-2028 годы.</w:t>
      </w:r>
    </w:p>
    <w:bookmarkEnd w:id="18"/>
    <w:bookmarkStart w:name="z30" w:id="19"/>
    <w:p>
      <w:pPr>
        <w:spacing w:after="0"/>
        <w:ind w:left="0"/>
        <w:jc w:val="both"/>
      </w:pPr>
      <w:r>
        <w:rPr>
          <w:rFonts w:ascii="Times New Roman"/>
          <w:b w:val="false"/>
          <w:i w:val="false"/>
          <w:color w:val="000000"/>
          <w:sz w:val="28"/>
        </w:rPr>
        <w:t>
      Управление отходами – одна из важных целей, методов и процедур по обращению с различными видами отходов, существенно влияющих на эколого-экономические показатели. Процесс управления отходами регламентируется документами, определяющими условия природопользования, законами и другими документами: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Экологический кодекс Республики Казахстан от 2 января 2021 года </w:t>
      </w:r>
      <w:r>
        <w:rPr>
          <w:rFonts w:ascii="Times New Roman"/>
          <w:b w:val="false"/>
          <w:i w:val="false"/>
          <w:color w:val="000000"/>
          <w:sz w:val="28"/>
        </w:rPr>
        <w:t>№ 400-VI</w:t>
      </w:r>
      <w:r>
        <w:rPr>
          <w:rFonts w:ascii="Times New Roman"/>
          <w:b w:val="false"/>
          <w:i w:val="false"/>
          <w:color w:val="000000"/>
          <w:sz w:val="28"/>
        </w:rPr>
        <w:t>;</w:t>
      </w:r>
    </w:p>
    <w:bookmarkStart w:name="z32" w:id="20"/>
    <w:p>
      <w:pPr>
        <w:spacing w:after="0"/>
        <w:ind w:left="0"/>
        <w:jc w:val="both"/>
      </w:pPr>
      <w:r>
        <w:rPr>
          <w:rFonts w:ascii="Times New Roman"/>
          <w:b w:val="false"/>
          <w:i w:val="false"/>
          <w:color w:val="000000"/>
          <w:sz w:val="28"/>
        </w:rPr>
        <w:t>
      ● Приказ и.о Министра экологии, геологии и природных ресурсов Республики Казахстан от 9 августа 2021 года № 318 "Правила разработки программы управления отходами";</w:t>
      </w:r>
    </w:p>
    <w:bookmarkEnd w:id="20"/>
    <w:bookmarkStart w:name="z33" w:id="21"/>
    <w:p>
      <w:pPr>
        <w:spacing w:after="0"/>
        <w:ind w:left="0"/>
        <w:jc w:val="both"/>
      </w:pPr>
      <w:r>
        <w:rPr>
          <w:rFonts w:ascii="Times New Roman"/>
          <w:b w:val="false"/>
          <w:i w:val="false"/>
          <w:color w:val="000000"/>
          <w:sz w:val="28"/>
        </w:rPr>
        <w:t>
      ● Классификатор отходов. Утвержден и.о Министра экологии, геологии и природных ресурсов Республики Казахстан от 6 августа 2021 года № 314.</w:t>
      </w:r>
    </w:p>
    <w:bookmarkEnd w:id="21"/>
    <w:bookmarkStart w:name="z34" w:id="22"/>
    <w:p>
      <w:pPr>
        <w:spacing w:after="0"/>
        <w:ind w:left="0"/>
        <w:jc w:val="both"/>
      </w:pPr>
      <w:r>
        <w:rPr>
          <w:rFonts w:ascii="Times New Roman"/>
          <w:b w:val="false"/>
          <w:i w:val="false"/>
          <w:color w:val="000000"/>
          <w:sz w:val="28"/>
        </w:rPr>
        <w:t>
      ●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 приказом Министра здравоохранения Республики Казахстан от 25 декабря 2020 года № ҚР ДСМ-331/2020).</w:t>
      </w:r>
    </w:p>
    <w:bookmarkEnd w:id="22"/>
    <w:bookmarkStart w:name="z35" w:id="23"/>
    <w:p>
      <w:pPr>
        <w:spacing w:after="0"/>
        <w:ind w:left="0"/>
        <w:jc w:val="both"/>
      </w:pPr>
      <w:r>
        <w:rPr>
          <w:rFonts w:ascii="Times New Roman"/>
          <w:b w:val="false"/>
          <w:i w:val="false"/>
          <w:color w:val="000000"/>
          <w:sz w:val="28"/>
        </w:rPr>
        <w:t>
      Город Каратау расположен в северных предгорьях одноимҰнного хребта. Эта местность характеризуется полупустынным ландшафтом, в окрестностях находятся озҰра Жартас, Биликоль, Акколь, Бугетколь.</w:t>
      </w:r>
    </w:p>
    <w:bookmarkEnd w:id="23"/>
    <w:bookmarkStart w:name="z36" w:id="24"/>
    <w:p>
      <w:pPr>
        <w:spacing w:after="0"/>
        <w:ind w:left="0"/>
        <w:jc w:val="both"/>
      </w:pPr>
      <w:r>
        <w:rPr>
          <w:rFonts w:ascii="Times New Roman"/>
          <w:b w:val="false"/>
          <w:i w:val="false"/>
          <w:color w:val="000000"/>
          <w:sz w:val="28"/>
        </w:rPr>
        <w:t>
      Поселение под названием Чулактау возник южнее химического завода в 1946 году. Этот завод, построенный в центре фосфоритоносного бассейна, постепенно наращивал обороты, в результате чего рос рабочий посҰлок. В 1963 году поселение Чулактау преобразован в город Каратау.</w:t>
      </w:r>
    </w:p>
    <w:bookmarkEnd w:id="24"/>
    <w:bookmarkStart w:name="z37" w:id="25"/>
    <w:p>
      <w:pPr>
        <w:spacing w:after="0"/>
        <w:ind w:left="0"/>
        <w:jc w:val="both"/>
      </w:pPr>
      <w:r>
        <w:rPr>
          <w:rFonts w:ascii="Times New Roman"/>
          <w:b w:val="false"/>
          <w:i w:val="false"/>
          <w:color w:val="000000"/>
          <w:sz w:val="28"/>
        </w:rPr>
        <w:t>
      Широко распространенный климат в Каратау - это климат степей, существует не так много осадков в течение всего года. Средняя температура воздуха - 10.7 ° C, среднегодовая норма осадков - 327 мм. Наименьшее количество осадков выпадает в августе месяце, в среднем составляет 5 мм. В апрель месяце, количество осадков достигает своего пика, в среднем 49 мм. Температуры являются самыми высокими в среднем в июле, на отметке 25.0 ° C. Январь является самым холодным месяцем в году.</w:t>
      </w:r>
    </w:p>
    <w:bookmarkEnd w:id="25"/>
    <w:bookmarkStart w:name="z38" w:id="26"/>
    <w:p>
      <w:pPr>
        <w:spacing w:after="0"/>
        <w:ind w:left="0"/>
        <w:jc w:val="left"/>
      </w:pPr>
      <w:r>
        <w:rPr>
          <w:rFonts w:ascii="Times New Roman"/>
          <w:b/>
          <w:i w:val="false"/>
          <w:color w:val="000000"/>
        </w:rPr>
        <w:t xml:space="preserve"> КЛИМАТИЧЕСКИЙ ГРАФИК</w:t>
      </w:r>
    </w:p>
    <w:bookmarkEnd w:id="26"/>
    <w:bookmarkStart w:name="z39"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28"/>
    <w:p>
      <w:pPr>
        <w:spacing w:after="0"/>
        <w:ind w:left="0"/>
        <w:jc w:val="left"/>
      </w:pPr>
      <w:r>
        <w:rPr>
          <w:rFonts w:ascii="Times New Roman"/>
          <w:b/>
          <w:i w:val="false"/>
          <w:color w:val="000000"/>
        </w:rPr>
        <w:t xml:space="preserve"> ГРАФИК ТЕМПЕРАТУРЫ</w:t>
      </w:r>
    </w:p>
    <w:bookmarkEnd w:id="28"/>
    <w:bookmarkStart w:name="z41"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0"/>
    <w:p>
      <w:pPr>
        <w:spacing w:after="0"/>
        <w:ind w:left="0"/>
        <w:jc w:val="left"/>
      </w:pPr>
      <w:r>
        <w:rPr>
          <w:rFonts w:ascii="Times New Roman"/>
          <w:b/>
          <w:i w:val="false"/>
          <w:color w:val="000000"/>
        </w:rPr>
        <w:t xml:space="preserve"> КЛИМАТИЧЕСКИЙ ГРАФИК</w:t>
      </w:r>
    </w:p>
    <w:bookmarkEnd w:id="30"/>
    <w:bookmarkStart w:name="z43"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xml:space="preserve">
      Изменение осадков между засушливые и дождливые месяцы 44 мм. Изменение среднегодовой температуры составляет около 29.6 ° C. </w:t>
      </w:r>
    </w:p>
    <w:bookmarkEnd w:id="32"/>
    <w:bookmarkStart w:name="z45" w:id="33"/>
    <w:p>
      <w:pPr>
        <w:spacing w:after="0"/>
        <w:ind w:left="0"/>
        <w:jc w:val="both"/>
      </w:pPr>
      <w:r>
        <w:rPr>
          <w:rFonts w:ascii="Times New Roman"/>
          <w:b w:val="false"/>
          <w:i w:val="false"/>
          <w:color w:val="000000"/>
          <w:sz w:val="28"/>
        </w:rPr>
        <w:t>
      1. АНАЛИЗ ТЕКУЩЕГО СОСТОЯНИЯ УПРАВЛЕНИЯ ОТХОДАМИ</w:t>
      </w:r>
    </w:p>
    <w:bookmarkEnd w:id="33"/>
    <w:bookmarkStart w:name="z46" w:id="34"/>
    <w:p>
      <w:pPr>
        <w:spacing w:after="0"/>
        <w:ind w:left="0"/>
        <w:jc w:val="both"/>
      </w:pPr>
      <w:r>
        <w:rPr>
          <w:rFonts w:ascii="Times New Roman"/>
          <w:b w:val="false"/>
          <w:i w:val="false"/>
          <w:color w:val="000000"/>
          <w:sz w:val="28"/>
        </w:rPr>
        <w:t>
      1.1. Оценка текущего состояния управления отходами.</w:t>
      </w:r>
    </w:p>
    <w:bookmarkEnd w:id="34"/>
    <w:bookmarkStart w:name="z47" w:id="35"/>
    <w:p>
      <w:pPr>
        <w:spacing w:after="0"/>
        <w:ind w:left="0"/>
        <w:jc w:val="both"/>
      </w:pPr>
      <w:r>
        <w:rPr>
          <w:rFonts w:ascii="Times New Roman"/>
          <w:b w:val="false"/>
          <w:i w:val="false"/>
          <w:color w:val="000000"/>
          <w:sz w:val="28"/>
        </w:rPr>
        <w:t>
      Управление коммунальными отходами является важной частью инфраструктуры городов и населенных пунктов, и оно напрямую влияет на качество окружающей среды и здоровье жителей. Этот раздел предназначен для проведения оценки текущего состояния управления отходами в городе. Анализ состояния позволит выявить проблемы и недостатки в системе управления отходами и определить области для улучшения.</w:t>
      </w:r>
    </w:p>
    <w:bookmarkEnd w:id="35"/>
    <w:bookmarkStart w:name="z48" w:id="36"/>
    <w:p>
      <w:pPr>
        <w:spacing w:after="0"/>
        <w:ind w:left="0"/>
        <w:jc w:val="both"/>
      </w:pPr>
      <w:r>
        <w:rPr>
          <w:rFonts w:ascii="Times New Roman"/>
          <w:b w:val="false"/>
          <w:i w:val="false"/>
          <w:color w:val="000000"/>
          <w:sz w:val="28"/>
        </w:rPr>
        <w:t>
      Существующая инфраструктура.</w:t>
      </w:r>
    </w:p>
    <w:bookmarkEnd w:id="36"/>
    <w:bookmarkStart w:name="z49" w:id="37"/>
    <w:p>
      <w:pPr>
        <w:spacing w:after="0"/>
        <w:ind w:left="0"/>
        <w:jc w:val="both"/>
      </w:pPr>
      <w:r>
        <w:rPr>
          <w:rFonts w:ascii="Times New Roman"/>
          <w:b w:val="false"/>
          <w:i w:val="false"/>
          <w:color w:val="000000"/>
          <w:sz w:val="28"/>
        </w:rPr>
        <w:t>
      В городе Каратау установлены 54 контейнерные площадки временного складирования отходов, на которых размещены 243 контейнера, из них 30 контейнеров для сбора пластиковых отходов, 15 – отработанных люминесцентных ламп, 50 – пищевые отходы и 116 – для ТБО. На 39 контейнерные площадки получены государственные акты. Санитарной очисткой вокруг площадок временного складирования отходов занимается ТОО "Бекебай", а санитарной очисткой улиц города ИП "Байжанов Нұрбол".</w:t>
      </w:r>
    </w:p>
    <w:bookmarkEnd w:id="37"/>
    <w:bookmarkStart w:name="z50" w:id="38"/>
    <w:p>
      <w:pPr>
        <w:spacing w:after="0"/>
        <w:ind w:left="0"/>
        <w:jc w:val="both"/>
      </w:pPr>
      <w:r>
        <w:rPr>
          <w:rFonts w:ascii="Times New Roman"/>
          <w:b w:val="false"/>
          <w:i w:val="false"/>
          <w:color w:val="000000"/>
          <w:sz w:val="28"/>
        </w:rPr>
        <w:t>
      Операторами по сбору, транспортировке ТБО с контейнерных площадок по городу занимаются две компании ТОО "Таза Қала-Қаратау" и ТОО "Қаратау саябақтары". Количество используемой техники - 2 тарактора, 1 автовышка, 3 единицы марки ГАЗ 53, 1 единица марки ЗиЛ и 2 единицы марки Камаз. Всего 9 единиц техники. В день осуществляется 9 рейсов на трех единицах автотранспорта.</w:t>
      </w:r>
    </w:p>
    <w:bookmarkEnd w:id="38"/>
    <w:bookmarkStart w:name="z51" w:id="39"/>
    <w:p>
      <w:pPr>
        <w:spacing w:after="0"/>
        <w:ind w:left="0"/>
        <w:jc w:val="both"/>
      </w:pPr>
      <w:r>
        <w:rPr>
          <w:rFonts w:ascii="Times New Roman"/>
          <w:b w:val="false"/>
          <w:i w:val="false"/>
          <w:color w:val="000000"/>
          <w:sz w:val="28"/>
        </w:rPr>
        <w:t>
      Отходы вывозятся на полигон ТБО, расположенный в Жамбылской области Таласском районе на расстоянии 2,3 км к северу от города Каратау на равнине, где отсутствует зеленые насаждения. В Западном направлении на расстоянии 504 метра расположен водоем талых вод, с южной стороны от полигона 1,72 км расположены поля фильтрации города Каратау.</w:t>
      </w:r>
    </w:p>
    <w:bookmarkEnd w:id="39"/>
    <w:bookmarkStart w:name="z52" w:id="40"/>
    <w:p>
      <w:pPr>
        <w:spacing w:after="0"/>
        <w:ind w:left="0"/>
        <w:jc w:val="both"/>
      </w:pPr>
      <w:r>
        <w:rPr>
          <w:rFonts w:ascii="Times New Roman"/>
          <w:b w:val="false"/>
          <w:i w:val="false"/>
          <w:color w:val="000000"/>
          <w:sz w:val="28"/>
        </w:rPr>
        <w:t>
       1.2. Анализ управления отходами в динамике за последние три года.</w:t>
      </w:r>
    </w:p>
    <w:bookmarkEnd w:id="40"/>
    <w:bookmarkStart w:name="z53" w:id="41"/>
    <w:p>
      <w:pPr>
        <w:spacing w:after="0"/>
        <w:ind w:left="0"/>
        <w:jc w:val="both"/>
      </w:pPr>
      <w:r>
        <w:rPr>
          <w:rFonts w:ascii="Times New Roman"/>
          <w:b w:val="false"/>
          <w:i w:val="false"/>
          <w:color w:val="000000"/>
          <w:sz w:val="28"/>
        </w:rPr>
        <w:t xml:space="preserve">
      С целью улучшения ситуации акиматом г. Каратау полигон ТБО передан в доверительное управление ТОО "Таза Қала-Қаратау" (ранее в управлении был КГП на ПХВ "Таза-Талас"). Данное товарищество не имеет в своем распоряжении мусороперерабатывающий комплекс, в ее управлении находится только полигон ТБО, а также техника (мусоровозы) для сбора отходов. </w:t>
      </w:r>
    </w:p>
    <w:bookmarkEnd w:id="41"/>
    <w:bookmarkStart w:name="z54" w:id="42"/>
    <w:p>
      <w:pPr>
        <w:spacing w:after="0"/>
        <w:ind w:left="0"/>
        <w:jc w:val="both"/>
      </w:pPr>
      <w:r>
        <w:rPr>
          <w:rFonts w:ascii="Times New Roman"/>
          <w:b w:val="false"/>
          <w:i w:val="false"/>
          <w:color w:val="000000"/>
          <w:sz w:val="28"/>
        </w:rPr>
        <w:t>
      В соответствии с Законом РК "О разрешениях и уведомлениях" все компании, занимающиеся сбором, сортировкой и (или) транспортировкой отходов, восстановлению и (или) уничтожению неопасных отходов, должны официально подать уведомление о начале своей деятельности в Министерство экологии, геологии и природных ресурсов РК. Данную процедуру прошла – ТОО "Таза Қала-Қаратау" (Талон о приеме уведомления от 05.04.2023 г.).</w:t>
      </w:r>
    </w:p>
    <w:bookmarkEnd w:id="42"/>
    <w:bookmarkStart w:name="z55" w:id="43"/>
    <w:p>
      <w:pPr>
        <w:spacing w:after="0"/>
        <w:ind w:left="0"/>
        <w:jc w:val="both"/>
      </w:pPr>
      <w:r>
        <w:rPr>
          <w:rFonts w:ascii="Times New Roman"/>
          <w:b w:val="false"/>
          <w:i w:val="false"/>
          <w:color w:val="000000"/>
          <w:sz w:val="28"/>
        </w:rPr>
        <w:t>
      По данным ТОО "Таза Қала-Қаратау" за последние три года на полигоне размещены следующие объемы отходов.</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bl>
    <w:bookmarkStart w:name="z56" w:id="44"/>
    <w:p>
      <w:pPr>
        <w:spacing w:after="0"/>
        <w:ind w:left="0"/>
        <w:jc w:val="both"/>
      </w:pPr>
      <w:r>
        <w:rPr>
          <w:rFonts w:ascii="Times New Roman"/>
          <w:b w:val="false"/>
          <w:i w:val="false"/>
          <w:color w:val="000000"/>
          <w:sz w:val="28"/>
        </w:rPr>
        <w:t>
      Согласно статистических данных численность населения г. Каратау за последние три года составили: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28507</w:t>
            </w:r>
          </w:p>
        </w:tc>
      </w:tr>
    </w:tbl>
    <w:bookmarkStart w:name="z57" w:id="45"/>
    <w:p>
      <w:pPr>
        <w:spacing w:after="0"/>
        <w:ind w:left="0"/>
        <w:jc w:val="both"/>
      </w:pPr>
      <w:r>
        <w:rPr>
          <w:rFonts w:ascii="Times New Roman"/>
          <w:b w:val="false"/>
          <w:i w:val="false"/>
          <w:color w:val="000000"/>
          <w:sz w:val="28"/>
        </w:rPr>
        <w:t>
      1.3. Анализ мероприятий по управлению отходами.</w:t>
      </w:r>
    </w:p>
    <w:bookmarkEnd w:id="45"/>
    <w:bookmarkStart w:name="z58" w:id="46"/>
    <w:p>
      <w:pPr>
        <w:spacing w:after="0"/>
        <w:ind w:left="0"/>
        <w:jc w:val="both"/>
      </w:pPr>
      <w:r>
        <w:rPr>
          <w:rFonts w:ascii="Times New Roman"/>
          <w:b w:val="false"/>
          <w:i w:val="false"/>
          <w:color w:val="000000"/>
          <w:sz w:val="28"/>
        </w:rPr>
        <w:t>
      Полигон ТБО был организован в 1963 году. На основании заключения государственной экологической экспертизы KZ42VCY00234359 от 29.03.2019 года срок эксплуатации полигона до 2030 года. Площадь полигона ТБО на основании акта на право постоянного землепользования, составляет 10 га. Кадастровый номер земельного участка 06-095-026-181. Мощность полигона составляет 197300 тонн. На территории полигона ТБО под строительный мусор выделен 1 га земли.</w:t>
      </w:r>
    </w:p>
    <w:bookmarkEnd w:id="46"/>
    <w:bookmarkStart w:name="z59" w:id="47"/>
    <w:p>
      <w:pPr>
        <w:spacing w:after="0"/>
        <w:ind w:left="0"/>
        <w:jc w:val="both"/>
      </w:pPr>
      <w:r>
        <w:rPr>
          <w:rFonts w:ascii="Times New Roman"/>
          <w:b w:val="false"/>
          <w:i w:val="false"/>
          <w:color w:val="000000"/>
          <w:sz w:val="28"/>
        </w:rPr>
        <w:t>
      Ситуационная карта-схема района размещения полигона</w:t>
      </w:r>
    </w:p>
    <w:bookmarkEnd w:id="47"/>
    <w:bookmarkStart w:name="z60"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xml:space="preserve">
      Согласно предоставленных документов с июля месяца 2022 года полигон ТБО был передан в доверительное управление ТОО "Таза Қала-Қаратау". Управлением природных ресурсов и регулирования природопользования Жамбылской области было переоформлено и выдано разрешение на эмиссии в окружающую среду за № KZ66VCZ03353463 от 13.10.2023 года, со роком действия до 31.12.2028 года. </w:t>
      </w:r>
    </w:p>
    <w:bookmarkEnd w:id="49"/>
    <w:bookmarkStart w:name="z62" w:id="50"/>
    <w:p>
      <w:pPr>
        <w:spacing w:after="0"/>
        <w:ind w:left="0"/>
        <w:jc w:val="both"/>
      </w:pPr>
      <w:r>
        <w:rPr>
          <w:rFonts w:ascii="Times New Roman"/>
          <w:b w:val="false"/>
          <w:i w:val="false"/>
          <w:color w:val="000000"/>
          <w:sz w:val="28"/>
        </w:rPr>
        <w:t>
      Нормы образования бытовых отходов согласно выданного разрешения составляет следующее: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образования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источника образования отходов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т/год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образования ТБО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сторонним организациям по договору (по морфологическому составу)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 жителей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Мт/год = (N *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Q и М взяты из "Порядок нормирования образования и размещения отходов производства РД 03.1.0.3.01-96; п.п.2.10.11."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ТБО на 2019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ТБО на 2020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ТБО на 2021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ТБО на 2022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ТБО на 2023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ТБО на 2024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ТБО на 2025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ТБО на 2026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ТБО на 2027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ТБО на 2028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весь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112990,680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82483,210</w:t>
            </w:r>
          </w:p>
        </w:tc>
      </w:tr>
    </w:tbl>
    <w:bookmarkStart w:name="z63" w:id="51"/>
    <w:p>
      <w:pPr>
        <w:spacing w:after="0"/>
        <w:ind w:left="0"/>
        <w:jc w:val="both"/>
      </w:pPr>
      <w:r>
        <w:rPr>
          <w:rFonts w:ascii="Times New Roman"/>
          <w:b w:val="false"/>
          <w:i w:val="false"/>
          <w:color w:val="000000"/>
          <w:sz w:val="28"/>
        </w:rPr>
        <w:t>
      Примечание:</w:t>
      </w:r>
    </w:p>
    <w:bookmarkEnd w:id="51"/>
    <w:bookmarkStart w:name="z64" w:id="52"/>
    <w:p>
      <w:pPr>
        <w:spacing w:after="0"/>
        <w:ind w:left="0"/>
        <w:jc w:val="both"/>
      </w:pPr>
      <w:r>
        <w:rPr>
          <w:rFonts w:ascii="Times New Roman"/>
          <w:b w:val="false"/>
          <w:i w:val="false"/>
          <w:color w:val="000000"/>
          <w:sz w:val="28"/>
        </w:rPr>
        <w:t>
      Сортировки твердо-бытовых отходов согласно морфологическому составу (металлоломы – 5 %, пластмассы – 12 %, пищевые отходы – 10%, бумаги – 40%, стеклобой – 6%)</w:t>
      </w:r>
    </w:p>
    <w:bookmarkEnd w:id="52"/>
    <w:bookmarkStart w:name="z65" w:id="53"/>
    <w:p>
      <w:pPr>
        <w:spacing w:after="0"/>
        <w:ind w:left="0"/>
        <w:jc w:val="both"/>
      </w:pPr>
      <w:r>
        <w:rPr>
          <w:rFonts w:ascii="Times New Roman"/>
          <w:b w:val="false"/>
          <w:i w:val="false"/>
          <w:color w:val="000000"/>
          <w:sz w:val="28"/>
        </w:rPr>
        <w:t>
      Также данным разрешением предусмотрены хранение строительных отходов в объеме 6441 тонн ежегодно до 2028 года. В основном строительные отходы образуется при демонтаже жилых домов.</w:t>
      </w:r>
    </w:p>
    <w:bookmarkEnd w:id="53"/>
    <w:bookmarkStart w:name="z66" w:id="54"/>
    <w:p>
      <w:pPr>
        <w:spacing w:after="0"/>
        <w:ind w:left="0"/>
        <w:jc w:val="both"/>
      </w:pPr>
      <w:r>
        <w:rPr>
          <w:rFonts w:ascii="Times New Roman"/>
          <w:b w:val="false"/>
          <w:i w:val="false"/>
          <w:color w:val="000000"/>
          <w:sz w:val="28"/>
        </w:rPr>
        <w:t>
      Объем накопления и хранения отходов на полигоне ТБО города Каратау по состоянию на 1 января 2024 года составил 78,219 тыс. тонн.</w:t>
      </w:r>
    </w:p>
    <w:bookmarkEnd w:id="54"/>
    <w:bookmarkStart w:name="z67" w:id="55"/>
    <w:p>
      <w:pPr>
        <w:spacing w:after="0"/>
        <w:ind w:left="0"/>
        <w:jc w:val="both"/>
      </w:pPr>
      <w:r>
        <w:rPr>
          <w:rFonts w:ascii="Times New Roman"/>
          <w:b w:val="false"/>
          <w:i w:val="false"/>
          <w:color w:val="000000"/>
          <w:sz w:val="28"/>
        </w:rPr>
        <w:t xml:space="preserve">
      Сортировка на полигоне производятся вручную. </w:t>
      </w:r>
    </w:p>
    <w:bookmarkEnd w:id="55"/>
    <w:bookmarkStart w:name="z68" w:id="56"/>
    <w:p>
      <w:pPr>
        <w:spacing w:after="0"/>
        <w:ind w:left="0"/>
        <w:jc w:val="both"/>
      </w:pPr>
      <w:r>
        <w:rPr>
          <w:rFonts w:ascii="Times New Roman"/>
          <w:b w:val="false"/>
          <w:i w:val="false"/>
          <w:color w:val="000000"/>
          <w:sz w:val="28"/>
        </w:rPr>
        <w:t>
      На сегодняшний день согласно справки выданное ТОО "Таза кала-Каратау" составляет следующее: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(баклажки)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Жестянок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9" w:id="57"/>
    <w:p>
      <w:pPr>
        <w:spacing w:after="0"/>
        <w:ind w:left="0"/>
        <w:jc w:val="both"/>
      </w:pPr>
      <w:r>
        <w:rPr>
          <w:rFonts w:ascii="Times New Roman"/>
          <w:b w:val="false"/>
          <w:i w:val="false"/>
          <w:color w:val="000000"/>
          <w:sz w:val="28"/>
        </w:rPr>
        <w:t>
      Охват обслуживания составляет 9927 человек (многоквартирные дома), 2003 домов частного сектора и 130 юридических лиц.</w:t>
      </w:r>
    </w:p>
    <w:bookmarkEnd w:id="57"/>
    <w:bookmarkStart w:name="z70" w:id="58"/>
    <w:p>
      <w:pPr>
        <w:spacing w:after="0"/>
        <w:ind w:left="0"/>
        <w:jc w:val="both"/>
      </w:pPr>
      <w:r>
        <w:rPr>
          <w:rFonts w:ascii="Times New Roman"/>
          <w:b w:val="false"/>
          <w:i w:val="false"/>
          <w:color w:val="000000"/>
          <w:sz w:val="28"/>
        </w:rPr>
        <w:t>
      Промышленные предприятия расположены за чертой города. Основным промышленным предприятием в городе является КГП на ПХВ МП "Игилик", деятельностью которого является передача и распределение тепловой энергии. Система обращения c отходами у юридических лиц налажена, образующиеся отходы размещаются на собственных промышленных площадках с последующей передачей сторонним специализированным организациям. Юридические лица в соответствии ст. 384 Экологического Кодекса РК ежегодно по состоянию на 1 января до 1 марта года, следующего за отчетным, предоставляют отчет по инвентаризации отходов в информационную систему oos.ecogeo.gov.kz.</w:t>
      </w:r>
    </w:p>
    <w:bookmarkEnd w:id="58"/>
    <w:bookmarkStart w:name="z71" w:id="59"/>
    <w:p>
      <w:pPr>
        <w:spacing w:after="0"/>
        <w:ind w:left="0"/>
        <w:jc w:val="both"/>
      </w:pPr>
      <w:r>
        <w:rPr>
          <w:rFonts w:ascii="Times New Roman"/>
          <w:b w:val="false"/>
          <w:i w:val="false"/>
          <w:color w:val="000000"/>
          <w:sz w:val="28"/>
        </w:rPr>
        <w:t>
      1.4. Анализ экономических аспектов.</w:t>
      </w:r>
    </w:p>
    <w:bookmarkEnd w:id="59"/>
    <w:bookmarkStart w:name="z72" w:id="60"/>
    <w:p>
      <w:pPr>
        <w:spacing w:after="0"/>
        <w:ind w:left="0"/>
        <w:jc w:val="both"/>
      </w:pPr>
      <w:r>
        <w:rPr>
          <w:rFonts w:ascii="Times New Roman"/>
          <w:b w:val="false"/>
          <w:i w:val="false"/>
          <w:color w:val="000000"/>
          <w:sz w:val="28"/>
        </w:rPr>
        <w:t xml:space="preserve">
      Согласно, Решение Таласского районного маслихата восьмого созыва за № 9-5 от 01.11.2023 года утверждены нормы образования и накопления коммунальных отходов, тарифов для населения на сбор, транспортировку, сортировку и захоронение твердых бытовых отходов.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транспортировка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без НДС,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жильцов в месяц с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 в том числе частные предприниматели,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2343,11</w:t>
            </w:r>
          </w:p>
        </w:tc>
      </w:tr>
    </w:tbl>
    <w:bookmarkStart w:name="z73" w:id="61"/>
    <w:p>
      <w:pPr>
        <w:spacing w:after="0"/>
        <w:ind w:left="0"/>
        <w:jc w:val="both"/>
      </w:pPr>
      <w:r>
        <w:rPr>
          <w:rFonts w:ascii="Times New Roman"/>
          <w:b w:val="false"/>
          <w:i w:val="false"/>
          <w:color w:val="000000"/>
          <w:sz w:val="28"/>
        </w:rPr>
        <w:t>
      В 2019 году на полигон ТБО разработан проект рекультивации (ликвидации) полигона и получено заключение государственной экологической экспертизы KZ42VCY00234359 от 29.02.2019 г.</w:t>
      </w:r>
    </w:p>
    <w:bookmarkEnd w:id="61"/>
    <w:bookmarkStart w:name="z74" w:id="62"/>
    <w:p>
      <w:pPr>
        <w:spacing w:after="0"/>
        <w:ind w:left="0"/>
        <w:jc w:val="both"/>
      </w:pPr>
      <w:r>
        <w:rPr>
          <w:rFonts w:ascii="Times New Roman"/>
          <w:b w:val="false"/>
          <w:i w:val="false"/>
          <w:color w:val="000000"/>
          <w:sz w:val="28"/>
        </w:rPr>
        <w:t>
      ТОО "Таза Қала–Қаратау" в соответствии проекта рекультивации, был открыт сберегательный счет в банке второго уровня для формирования ликвидационного фонда.</w:t>
      </w:r>
    </w:p>
    <w:bookmarkEnd w:id="62"/>
    <w:bookmarkStart w:name="z75" w:id="63"/>
    <w:p>
      <w:pPr>
        <w:spacing w:after="0"/>
        <w:ind w:left="0"/>
        <w:jc w:val="both"/>
      </w:pPr>
      <w:r>
        <w:rPr>
          <w:rFonts w:ascii="Times New Roman"/>
          <w:b w:val="false"/>
          <w:i w:val="false"/>
          <w:color w:val="000000"/>
          <w:sz w:val="28"/>
        </w:rPr>
        <w:t>
      2. ЦЕЛИ, ЗАДАЧИ И ЦЕЛЕВЫЕ ПОКАЗАТЕЛИ ПРОГРАММЫ</w:t>
      </w:r>
    </w:p>
    <w:bookmarkEnd w:id="63"/>
    <w:bookmarkStart w:name="z76" w:id="64"/>
    <w:p>
      <w:pPr>
        <w:spacing w:after="0"/>
        <w:ind w:left="0"/>
        <w:jc w:val="both"/>
      </w:pPr>
      <w:r>
        <w:rPr>
          <w:rFonts w:ascii="Times New Roman"/>
          <w:b w:val="false"/>
          <w:i w:val="false"/>
          <w:color w:val="000000"/>
          <w:sz w:val="28"/>
        </w:rPr>
        <w:t>
      2.1. Цели и задачи Программы</w:t>
      </w:r>
    </w:p>
    <w:bookmarkEnd w:id="64"/>
    <w:bookmarkStart w:name="z77" w:id="65"/>
    <w:p>
      <w:pPr>
        <w:spacing w:after="0"/>
        <w:ind w:left="0"/>
        <w:jc w:val="both"/>
      </w:pPr>
      <w:r>
        <w:rPr>
          <w:rFonts w:ascii="Times New Roman"/>
          <w:b w:val="false"/>
          <w:i w:val="false"/>
          <w:color w:val="000000"/>
          <w:sz w:val="28"/>
        </w:rPr>
        <w:t>
      Цель Программы заключается в достижении установленных показателей, направленных на постепенное сокращение объемов и (или) уровня опасных свойств образуемых и накопленных отходов, а также отходов, подвергаемых удалению, увеличение доли восстановления отходов и рекультивации полигонов.</w:t>
      </w:r>
    </w:p>
    <w:bookmarkEnd w:id="65"/>
    <w:bookmarkStart w:name="z78" w:id="66"/>
    <w:p>
      <w:pPr>
        <w:spacing w:after="0"/>
        <w:ind w:left="0"/>
        <w:jc w:val="both"/>
      </w:pPr>
      <w:r>
        <w:rPr>
          <w:rFonts w:ascii="Times New Roman"/>
          <w:b w:val="false"/>
          <w:i w:val="false"/>
          <w:color w:val="000000"/>
          <w:sz w:val="28"/>
        </w:rPr>
        <w:t>
      Задачи программы – определить пути достижения поставленной цели наиболее эффективными и экономически обоснованными методами.</w:t>
      </w:r>
    </w:p>
    <w:bookmarkEnd w:id="66"/>
    <w:bookmarkStart w:name="z79" w:id="67"/>
    <w:p>
      <w:pPr>
        <w:spacing w:after="0"/>
        <w:ind w:left="0"/>
        <w:jc w:val="both"/>
      </w:pPr>
      <w:r>
        <w:rPr>
          <w:rFonts w:ascii="Times New Roman"/>
          <w:b w:val="false"/>
          <w:i w:val="false"/>
          <w:color w:val="000000"/>
          <w:sz w:val="28"/>
        </w:rPr>
        <w:t>
      Задачи направлены на снижение объемов образуемых и накопленных отходов, с учетом:</w:t>
      </w:r>
    </w:p>
    <w:bookmarkEnd w:id="67"/>
    <w:bookmarkStart w:name="z80" w:id="68"/>
    <w:p>
      <w:pPr>
        <w:spacing w:after="0"/>
        <w:ind w:left="0"/>
        <w:jc w:val="both"/>
      </w:pPr>
      <w:r>
        <w:rPr>
          <w:rFonts w:ascii="Times New Roman"/>
          <w:b w:val="false"/>
          <w:i w:val="false"/>
          <w:color w:val="000000"/>
          <w:sz w:val="28"/>
        </w:rPr>
        <w:t>
      - внедрения имеющихся в мире наилучших доступных технологий по обезвреживанию, вторичному использованию и переработке отходов;</w:t>
      </w:r>
    </w:p>
    <w:bookmarkEnd w:id="68"/>
    <w:bookmarkStart w:name="z81" w:id="69"/>
    <w:p>
      <w:pPr>
        <w:spacing w:after="0"/>
        <w:ind w:left="0"/>
        <w:jc w:val="both"/>
      </w:pPr>
      <w:r>
        <w:rPr>
          <w:rFonts w:ascii="Times New Roman"/>
          <w:b w:val="false"/>
          <w:i w:val="false"/>
          <w:color w:val="000000"/>
          <w:sz w:val="28"/>
        </w:rPr>
        <w:t>
      - привлечения инвестиций в переработку и вторичное использование отходов;</w:t>
      </w:r>
    </w:p>
    <w:bookmarkEnd w:id="69"/>
    <w:bookmarkStart w:name="z82" w:id="70"/>
    <w:p>
      <w:pPr>
        <w:spacing w:after="0"/>
        <w:ind w:left="0"/>
        <w:jc w:val="both"/>
      </w:pPr>
      <w:r>
        <w:rPr>
          <w:rFonts w:ascii="Times New Roman"/>
          <w:b w:val="false"/>
          <w:i w:val="false"/>
          <w:color w:val="000000"/>
          <w:sz w:val="28"/>
        </w:rPr>
        <w:t>
      - минимизации объемов отходов, вывозимых в накопители отходов для размещения, обезвреживания, захоронения;</w:t>
      </w:r>
    </w:p>
    <w:bookmarkEnd w:id="70"/>
    <w:bookmarkStart w:name="z83" w:id="71"/>
    <w:p>
      <w:pPr>
        <w:spacing w:after="0"/>
        <w:ind w:left="0"/>
        <w:jc w:val="both"/>
      </w:pPr>
      <w:r>
        <w:rPr>
          <w:rFonts w:ascii="Times New Roman"/>
          <w:b w:val="false"/>
          <w:i w:val="false"/>
          <w:color w:val="000000"/>
          <w:sz w:val="28"/>
        </w:rPr>
        <w:t>
      - соблюдения действующих экологических, санитарно-эпидемиологических и технологических норм и правил при обращении с отходами;</w:t>
      </w:r>
    </w:p>
    <w:bookmarkEnd w:id="71"/>
    <w:bookmarkStart w:name="z84" w:id="72"/>
    <w:p>
      <w:pPr>
        <w:spacing w:after="0"/>
        <w:ind w:left="0"/>
        <w:jc w:val="both"/>
      </w:pPr>
      <w:r>
        <w:rPr>
          <w:rFonts w:ascii="Times New Roman"/>
          <w:b w:val="false"/>
          <w:i w:val="false"/>
          <w:color w:val="000000"/>
          <w:sz w:val="28"/>
        </w:rPr>
        <w:t>
      - обеспечение условий, при которых отходы не оказывают вредного воздействия на состояние окружающей среды и здоровье человека;</w:t>
      </w:r>
    </w:p>
    <w:bookmarkEnd w:id="72"/>
    <w:bookmarkStart w:name="z85" w:id="73"/>
    <w:p>
      <w:pPr>
        <w:spacing w:after="0"/>
        <w:ind w:left="0"/>
        <w:jc w:val="both"/>
      </w:pPr>
      <w:r>
        <w:rPr>
          <w:rFonts w:ascii="Times New Roman"/>
          <w:b w:val="false"/>
          <w:i w:val="false"/>
          <w:color w:val="000000"/>
          <w:sz w:val="28"/>
        </w:rPr>
        <w:t>
      - минимизации отрицательного воздействия полигона на окружающую среду.</w:t>
      </w:r>
    </w:p>
    <w:bookmarkEnd w:id="73"/>
    <w:bookmarkStart w:name="z86" w:id="74"/>
    <w:p>
      <w:pPr>
        <w:spacing w:after="0"/>
        <w:ind w:left="0"/>
        <w:jc w:val="both"/>
      </w:pPr>
      <w:r>
        <w:rPr>
          <w:rFonts w:ascii="Times New Roman"/>
          <w:b w:val="false"/>
          <w:i w:val="false"/>
          <w:color w:val="000000"/>
          <w:sz w:val="28"/>
        </w:rPr>
        <w:t>
      Система управления отходами также включает:</w:t>
      </w:r>
    </w:p>
    <w:bookmarkEnd w:id="74"/>
    <w:bookmarkStart w:name="z87" w:id="75"/>
    <w:p>
      <w:pPr>
        <w:spacing w:after="0"/>
        <w:ind w:left="0"/>
        <w:jc w:val="both"/>
      </w:pPr>
      <w:r>
        <w:rPr>
          <w:rFonts w:ascii="Times New Roman"/>
          <w:b w:val="false"/>
          <w:i w:val="false"/>
          <w:color w:val="000000"/>
          <w:sz w:val="28"/>
        </w:rPr>
        <w:t>
      -инвентаризацию отходов;</w:t>
      </w:r>
    </w:p>
    <w:bookmarkEnd w:id="75"/>
    <w:bookmarkStart w:name="z88" w:id="76"/>
    <w:p>
      <w:pPr>
        <w:spacing w:after="0"/>
        <w:ind w:left="0"/>
        <w:jc w:val="both"/>
      </w:pPr>
      <w:r>
        <w:rPr>
          <w:rFonts w:ascii="Times New Roman"/>
          <w:b w:val="false"/>
          <w:i w:val="false"/>
          <w:color w:val="000000"/>
          <w:sz w:val="28"/>
        </w:rPr>
        <w:t>
      -идентификацию образующихся отходов и их учет;</w:t>
      </w:r>
    </w:p>
    <w:bookmarkEnd w:id="76"/>
    <w:bookmarkStart w:name="z89" w:id="77"/>
    <w:p>
      <w:pPr>
        <w:spacing w:after="0"/>
        <w:ind w:left="0"/>
        <w:jc w:val="both"/>
      </w:pPr>
      <w:r>
        <w:rPr>
          <w:rFonts w:ascii="Times New Roman"/>
          <w:b w:val="false"/>
          <w:i w:val="false"/>
          <w:color w:val="000000"/>
          <w:sz w:val="28"/>
        </w:rPr>
        <w:t>
      -раздельный сбор отходов в местах их образования, а также вторичного использования определҰнных видов отходов;</w:t>
      </w:r>
    </w:p>
    <w:bookmarkEnd w:id="77"/>
    <w:bookmarkStart w:name="z90" w:id="78"/>
    <w:p>
      <w:pPr>
        <w:spacing w:after="0"/>
        <w:ind w:left="0"/>
        <w:jc w:val="both"/>
      </w:pPr>
      <w:r>
        <w:rPr>
          <w:rFonts w:ascii="Times New Roman"/>
          <w:b w:val="false"/>
          <w:i w:val="false"/>
          <w:color w:val="000000"/>
          <w:sz w:val="28"/>
        </w:rPr>
        <w:t>
      2.2. Пути достижения поставленных целей и задач.</w:t>
      </w:r>
    </w:p>
    <w:bookmarkEnd w:id="78"/>
    <w:bookmarkStart w:name="z91" w:id="79"/>
    <w:p>
      <w:pPr>
        <w:spacing w:after="0"/>
        <w:ind w:left="0"/>
        <w:jc w:val="both"/>
      </w:pPr>
      <w:r>
        <w:rPr>
          <w:rFonts w:ascii="Times New Roman"/>
          <w:b w:val="false"/>
          <w:i w:val="false"/>
          <w:color w:val="000000"/>
          <w:sz w:val="28"/>
        </w:rPr>
        <w:t xml:space="preserve">
      Стабилизация и улучшение состояния окружающей среды обеспечивается соблюдением поэтапно снижаемых уровней негативного воздействия на окружающую среду. </w:t>
      </w:r>
    </w:p>
    <w:bookmarkEnd w:id="79"/>
    <w:bookmarkStart w:name="z92" w:id="80"/>
    <w:p>
      <w:pPr>
        <w:spacing w:after="0"/>
        <w:ind w:left="0"/>
        <w:jc w:val="both"/>
      </w:pPr>
      <w:r>
        <w:rPr>
          <w:rFonts w:ascii="Times New Roman"/>
          <w:b w:val="false"/>
          <w:i w:val="false"/>
          <w:color w:val="000000"/>
          <w:sz w:val="28"/>
        </w:rPr>
        <w:t>
      - создание условий и поддержку предприятиям осуществляющие деятельность в сфере использования отходов производства и потребления в качестве вторичного сырья и утилизацию отходов</w:t>
      </w:r>
    </w:p>
    <w:bookmarkEnd w:id="80"/>
    <w:bookmarkStart w:name="z93" w:id="81"/>
    <w:p>
      <w:pPr>
        <w:spacing w:after="0"/>
        <w:ind w:left="0"/>
        <w:jc w:val="both"/>
      </w:pPr>
      <w:r>
        <w:rPr>
          <w:rFonts w:ascii="Times New Roman"/>
          <w:b w:val="false"/>
          <w:i w:val="false"/>
          <w:color w:val="000000"/>
          <w:sz w:val="28"/>
        </w:rPr>
        <w:t>
      - для раздельного сбора отходов необходимо на площадках временного хранения отходов установить контейнера для определенных видов отходов, как например установленные контейнера для пищевых отходов (хлеб), отработанных люминесцентных ламп и отходов пластика (баклажек). Дополнительно установить для макулатуры, твердого пластика, стекла, жестяных банок.</w:t>
      </w:r>
    </w:p>
    <w:bookmarkEnd w:id="81"/>
    <w:bookmarkStart w:name="z94" w:id="82"/>
    <w:p>
      <w:pPr>
        <w:spacing w:after="0"/>
        <w:ind w:left="0"/>
        <w:jc w:val="both"/>
      </w:pPr>
      <w:r>
        <w:rPr>
          <w:rFonts w:ascii="Times New Roman"/>
          <w:b w:val="false"/>
          <w:i w:val="false"/>
          <w:color w:val="000000"/>
          <w:sz w:val="28"/>
        </w:rPr>
        <w:t>
      - проводить разъяснительную работу с населением в СМИ (интернет ресурсах и др.), в дошкольных и среднеобразовательных учреждениях проводить семинары, классные часы и т.д. по раздельному сбору отходов.</w:t>
      </w:r>
    </w:p>
    <w:bookmarkEnd w:id="82"/>
    <w:bookmarkStart w:name="z95" w:id="83"/>
    <w:p>
      <w:pPr>
        <w:spacing w:after="0"/>
        <w:ind w:left="0"/>
        <w:jc w:val="both"/>
      </w:pPr>
      <w:r>
        <w:rPr>
          <w:rFonts w:ascii="Times New Roman"/>
          <w:b w:val="false"/>
          <w:i w:val="false"/>
          <w:color w:val="000000"/>
          <w:sz w:val="28"/>
        </w:rPr>
        <w:t>
      - проводить акции.</w:t>
      </w:r>
    </w:p>
    <w:bookmarkEnd w:id="83"/>
    <w:bookmarkStart w:name="z96" w:id="84"/>
    <w:p>
      <w:pPr>
        <w:spacing w:after="0"/>
        <w:ind w:left="0"/>
        <w:jc w:val="both"/>
      </w:pPr>
      <w:r>
        <w:rPr>
          <w:rFonts w:ascii="Times New Roman"/>
          <w:b w:val="false"/>
          <w:i w:val="false"/>
          <w:color w:val="000000"/>
          <w:sz w:val="28"/>
        </w:rPr>
        <w:t xml:space="preserve">
      - открыть пункты приемов отходов подлежащие вторичному использованию. </w:t>
      </w:r>
    </w:p>
    <w:bookmarkEnd w:id="84"/>
    <w:bookmarkStart w:name="z97" w:id="85"/>
    <w:p>
      <w:pPr>
        <w:spacing w:after="0"/>
        <w:ind w:left="0"/>
        <w:jc w:val="both"/>
      </w:pPr>
      <w:r>
        <w:rPr>
          <w:rFonts w:ascii="Times New Roman"/>
          <w:b w:val="false"/>
          <w:i w:val="false"/>
          <w:color w:val="000000"/>
          <w:sz w:val="28"/>
        </w:rPr>
        <w:t>
      - обеспечение достаточного количества в общественных местах мусорных урн для граждан, чтобы они могли выбрасывать свои отходы по ходу передвижения по общественным местам.</w:t>
      </w:r>
    </w:p>
    <w:bookmarkEnd w:id="85"/>
    <w:bookmarkStart w:name="z98" w:id="86"/>
    <w:p>
      <w:pPr>
        <w:spacing w:after="0"/>
        <w:ind w:left="0"/>
        <w:jc w:val="both"/>
      </w:pPr>
      <w:r>
        <w:rPr>
          <w:rFonts w:ascii="Times New Roman"/>
          <w:b w:val="false"/>
          <w:i w:val="false"/>
          <w:color w:val="000000"/>
          <w:sz w:val="28"/>
        </w:rPr>
        <w:t>
      2.3. Целевые показатели Программы.</w:t>
      </w:r>
    </w:p>
    <w:bookmarkEnd w:id="86"/>
    <w:bookmarkStart w:name="z99" w:id="87"/>
    <w:p>
      <w:pPr>
        <w:spacing w:after="0"/>
        <w:ind w:left="0"/>
        <w:jc w:val="both"/>
      </w:pPr>
      <w:r>
        <w:rPr>
          <w:rFonts w:ascii="Times New Roman"/>
          <w:b w:val="false"/>
          <w:i w:val="false"/>
          <w:color w:val="000000"/>
          <w:sz w:val="28"/>
        </w:rPr>
        <w:t>
      Показатели Программы – количественные и (или) качественные значения, определяющие на определенных этапах ожидаемые результаты реализации комплекса мер, направленных на снижение негативного воздействия отходов производства и потребления на окружающую среду.</w:t>
      </w:r>
    </w:p>
    <w:bookmarkEnd w:id="87"/>
    <w:bookmarkStart w:name="z100" w:id="88"/>
    <w:p>
      <w:pPr>
        <w:spacing w:after="0"/>
        <w:ind w:left="0"/>
        <w:jc w:val="both"/>
      </w:pPr>
      <w:r>
        <w:rPr>
          <w:rFonts w:ascii="Times New Roman"/>
          <w:b w:val="false"/>
          <w:i w:val="false"/>
          <w:color w:val="000000"/>
          <w:sz w:val="28"/>
        </w:rPr>
        <w:t>
       В своем нынешнем состоянии полигон не выполняет задачу, для которой он был изначально предназначен – хранение отходов без негативного воздействия на охраняемые объекты. Всего существует шесть барьеров, обеспечивающих отсутствие негативного воздействия на охраняемые объекты в процессе захоронения отходов. К ним относятся:</w:t>
      </w:r>
    </w:p>
    <w:bookmarkEnd w:id="88"/>
    <w:bookmarkStart w:name="z101" w:id="89"/>
    <w:p>
      <w:pPr>
        <w:spacing w:after="0"/>
        <w:ind w:left="0"/>
        <w:jc w:val="both"/>
      </w:pPr>
      <w:r>
        <w:rPr>
          <w:rFonts w:ascii="Times New Roman"/>
          <w:b w:val="false"/>
          <w:i w:val="false"/>
          <w:color w:val="000000"/>
          <w:sz w:val="28"/>
        </w:rPr>
        <w:t>
      1. Геологический барьер;</w:t>
      </w:r>
    </w:p>
    <w:bookmarkEnd w:id="89"/>
    <w:bookmarkStart w:name="z102" w:id="90"/>
    <w:p>
      <w:pPr>
        <w:spacing w:after="0"/>
        <w:ind w:left="0"/>
        <w:jc w:val="both"/>
      </w:pPr>
      <w:r>
        <w:rPr>
          <w:rFonts w:ascii="Times New Roman"/>
          <w:b w:val="false"/>
          <w:i w:val="false"/>
          <w:color w:val="000000"/>
          <w:sz w:val="28"/>
        </w:rPr>
        <w:t>
      2. Система герметизации основания полигона;</w:t>
      </w:r>
    </w:p>
    <w:bookmarkEnd w:id="90"/>
    <w:bookmarkStart w:name="z103" w:id="91"/>
    <w:p>
      <w:pPr>
        <w:spacing w:after="0"/>
        <w:ind w:left="0"/>
        <w:jc w:val="both"/>
      </w:pPr>
      <w:r>
        <w:rPr>
          <w:rFonts w:ascii="Times New Roman"/>
          <w:b w:val="false"/>
          <w:i w:val="false"/>
          <w:color w:val="000000"/>
          <w:sz w:val="28"/>
        </w:rPr>
        <w:t>
      3. Предварительная обработка отходов;</w:t>
      </w:r>
    </w:p>
    <w:bookmarkEnd w:id="91"/>
    <w:bookmarkStart w:name="z104" w:id="92"/>
    <w:p>
      <w:pPr>
        <w:spacing w:after="0"/>
        <w:ind w:left="0"/>
        <w:jc w:val="both"/>
      </w:pPr>
      <w:r>
        <w:rPr>
          <w:rFonts w:ascii="Times New Roman"/>
          <w:b w:val="false"/>
          <w:i w:val="false"/>
          <w:color w:val="000000"/>
          <w:sz w:val="28"/>
        </w:rPr>
        <w:t>
      4. Эксплуатация и управление полигоном;</w:t>
      </w:r>
    </w:p>
    <w:bookmarkEnd w:id="92"/>
    <w:bookmarkStart w:name="z105" w:id="93"/>
    <w:p>
      <w:pPr>
        <w:spacing w:after="0"/>
        <w:ind w:left="0"/>
        <w:jc w:val="both"/>
      </w:pPr>
      <w:r>
        <w:rPr>
          <w:rFonts w:ascii="Times New Roman"/>
          <w:b w:val="false"/>
          <w:i w:val="false"/>
          <w:color w:val="000000"/>
          <w:sz w:val="28"/>
        </w:rPr>
        <w:t>
      5. Система уплотнения поверхности полигона;</w:t>
      </w:r>
    </w:p>
    <w:bookmarkEnd w:id="93"/>
    <w:bookmarkStart w:name="z106" w:id="94"/>
    <w:p>
      <w:pPr>
        <w:spacing w:after="0"/>
        <w:ind w:left="0"/>
        <w:jc w:val="both"/>
      </w:pPr>
      <w:r>
        <w:rPr>
          <w:rFonts w:ascii="Times New Roman"/>
          <w:b w:val="false"/>
          <w:i w:val="false"/>
          <w:color w:val="000000"/>
          <w:sz w:val="28"/>
        </w:rPr>
        <w:t>
      6. Уход за полигоном.</w:t>
      </w:r>
    </w:p>
    <w:bookmarkEnd w:id="94"/>
    <w:bookmarkStart w:name="z107" w:id="95"/>
    <w:p>
      <w:pPr>
        <w:spacing w:after="0"/>
        <w:ind w:left="0"/>
        <w:jc w:val="both"/>
      </w:pPr>
      <w:r>
        <w:rPr>
          <w:rFonts w:ascii="Times New Roman"/>
          <w:b w:val="false"/>
          <w:i w:val="false"/>
          <w:color w:val="000000"/>
          <w:sz w:val="28"/>
        </w:rPr>
        <w:t>
      3. ОСНОВНЫЕ НАПРАВЛЕНИЯ, ПУТИ ДОСТИЖЕНИЯ ПОСТАВЛЕННОЙ ЦЕЛИ И СООТВЕТСТВУЮЩИЕ МЕРЫ.</w:t>
      </w:r>
    </w:p>
    <w:bookmarkEnd w:id="95"/>
    <w:bookmarkStart w:name="z108" w:id="96"/>
    <w:p>
      <w:pPr>
        <w:spacing w:after="0"/>
        <w:ind w:left="0"/>
        <w:jc w:val="both"/>
      </w:pPr>
      <w:r>
        <w:rPr>
          <w:rFonts w:ascii="Times New Roman"/>
          <w:b w:val="false"/>
          <w:i w:val="false"/>
          <w:color w:val="000000"/>
          <w:sz w:val="28"/>
        </w:rPr>
        <w:t>
      Рекомендуется провести следующие улучшения в ближайшие 5 лет:</w:t>
      </w:r>
    </w:p>
    <w:bookmarkEnd w:id="96"/>
    <w:bookmarkStart w:name="z109" w:id="97"/>
    <w:p>
      <w:pPr>
        <w:spacing w:after="0"/>
        <w:ind w:left="0"/>
        <w:jc w:val="both"/>
      </w:pPr>
      <w:r>
        <w:rPr>
          <w:rFonts w:ascii="Times New Roman"/>
          <w:b w:val="false"/>
          <w:i w:val="false"/>
          <w:color w:val="000000"/>
          <w:sz w:val="28"/>
        </w:rPr>
        <w:t>
      - улучшить инфраструктуру, чтобы автомобили для сбора отходов могли безопасно транспортировать отходы;</w:t>
      </w:r>
    </w:p>
    <w:bookmarkEnd w:id="97"/>
    <w:bookmarkStart w:name="z110" w:id="98"/>
    <w:p>
      <w:pPr>
        <w:spacing w:after="0"/>
        <w:ind w:left="0"/>
        <w:jc w:val="both"/>
      </w:pPr>
      <w:r>
        <w:rPr>
          <w:rFonts w:ascii="Times New Roman"/>
          <w:b w:val="false"/>
          <w:i w:val="false"/>
          <w:color w:val="000000"/>
          <w:sz w:val="28"/>
        </w:rPr>
        <w:t>
      - установить сетку вокруг полигона, чтобы легковесные отходы не уносило сильным ветром;</w:t>
      </w:r>
    </w:p>
    <w:bookmarkEnd w:id="98"/>
    <w:bookmarkStart w:name="z111" w:id="99"/>
    <w:p>
      <w:pPr>
        <w:spacing w:after="0"/>
        <w:ind w:left="0"/>
        <w:jc w:val="both"/>
      </w:pPr>
      <w:r>
        <w:rPr>
          <w:rFonts w:ascii="Times New Roman"/>
          <w:b w:val="false"/>
          <w:i w:val="false"/>
          <w:color w:val="000000"/>
          <w:sz w:val="28"/>
        </w:rPr>
        <w:t>
      - улучшить регистрацию отходов и соответствующим образом адаптировать оплату за захоронение отходов;</w:t>
      </w:r>
    </w:p>
    <w:bookmarkEnd w:id="99"/>
    <w:bookmarkStart w:name="z112" w:id="100"/>
    <w:p>
      <w:pPr>
        <w:spacing w:after="0"/>
        <w:ind w:left="0"/>
        <w:jc w:val="both"/>
      </w:pPr>
      <w:r>
        <w:rPr>
          <w:rFonts w:ascii="Times New Roman"/>
          <w:b w:val="false"/>
          <w:i w:val="false"/>
          <w:color w:val="000000"/>
          <w:sz w:val="28"/>
        </w:rPr>
        <w:t>
      - улучшить покрытие сваленных отходов (планироака), чтобы минимизировать биологическую активность и риск пожара.</w:t>
      </w:r>
    </w:p>
    <w:bookmarkEnd w:id="100"/>
    <w:bookmarkStart w:name="z113" w:id="101"/>
    <w:p>
      <w:pPr>
        <w:spacing w:after="0"/>
        <w:ind w:left="0"/>
        <w:jc w:val="both"/>
      </w:pPr>
      <w:r>
        <w:rPr>
          <w:rFonts w:ascii="Times New Roman"/>
          <w:b w:val="false"/>
          <w:i w:val="false"/>
          <w:color w:val="000000"/>
          <w:sz w:val="28"/>
        </w:rPr>
        <w:t>
      - создание минизавода по переработке отходов, также улучшит принцип многобарьерности полигона и снизит выбросы метана.</w:t>
      </w:r>
    </w:p>
    <w:bookmarkEnd w:id="101"/>
    <w:bookmarkStart w:name="z114" w:id="102"/>
    <w:p>
      <w:pPr>
        <w:spacing w:after="0"/>
        <w:ind w:left="0"/>
        <w:jc w:val="both"/>
      </w:pPr>
      <w:r>
        <w:rPr>
          <w:rFonts w:ascii="Times New Roman"/>
          <w:b w:val="false"/>
          <w:i w:val="false"/>
          <w:color w:val="000000"/>
          <w:sz w:val="28"/>
        </w:rPr>
        <w:t>
      В целях оптимизации управления отходами и цифровизации отрасли, изучаются современные технологии по цифровизации, где планируются учет всех объектов на данном рынке: нанесение на карту все контейнерные площадки для сбора отходов, оснащение техники GPS-датчиками для контроля надлежащего исполнения своих обязательств участники рынка.</w:t>
      </w:r>
    </w:p>
    <w:bookmarkEnd w:id="102"/>
    <w:bookmarkStart w:name="z115" w:id="103"/>
    <w:p>
      <w:pPr>
        <w:spacing w:after="0"/>
        <w:ind w:left="0"/>
        <w:jc w:val="both"/>
      </w:pPr>
      <w:r>
        <w:rPr>
          <w:rFonts w:ascii="Times New Roman"/>
          <w:b w:val="false"/>
          <w:i w:val="false"/>
          <w:color w:val="000000"/>
          <w:sz w:val="28"/>
        </w:rPr>
        <w:t>
      Приказом Министерства просвещения утвержден План мероприятий экологического образования и воспитания на 2023-2029 годы, который включает комплексные мероприятия по экологическому просвещению учащихся всех уровней образования. Исполнение поручения касательно разработки и внедрения в программы обучения от детского сада до университета вопросов культуры обращения с мусором продолжиться в рамках данного Плана.</w:t>
      </w:r>
    </w:p>
    <w:bookmarkEnd w:id="103"/>
    <w:bookmarkStart w:name="z116" w:id="104"/>
    <w:p>
      <w:pPr>
        <w:spacing w:after="0"/>
        <w:ind w:left="0"/>
        <w:jc w:val="both"/>
      </w:pPr>
      <w:r>
        <w:rPr>
          <w:rFonts w:ascii="Times New Roman"/>
          <w:b w:val="false"/>
          <w:i w:val="false"/>
          <w:color w:val="000000"/>
          <w:sz w:val="28"/>
        </w:rPr>
        <w:t>
      Кроме того, разработаны поправки в Кодекс об административных правонарушениях, предусматривающие увеличение штрафов за выброс мусора вне установленных мест. К примеру, для физических лиц с 50 МРП до 100 МРП, а для субъектов малого предпринимательства или некоммерческих организаций со 100 МРП до 200 МРП. Данные поправки в КоАП предусмотрены в рамках проекта Закона РК "О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 который на сегодня прошел общественное слушание и по указанным поправкам проводится анализ регуляторного воздействия.</w:t>
      </w:r>
    </w:p>
    <w:bookmarkEnd w:id="104"/>
    <w:bookmarkStart w:name="z117" w:id="105"/>
    <w:p>
      <w:pPr>
        <w:spacing w:after="0"/>
        <w:ind w:left="0"/>
        <w:jc w:val="both"/>
      </w:pPr>
      <w:r>
        <w:rPr>
          <w:rFonts w:ascii="Times New Roman"/>
          <w:b w:val="false"/>
          <w:i w:val="false"/>
          <w:color w:val="000000"/>
          <w:sz w:val="28"/>
        </w:rPr>
        <w:t>
      4. НЕОБХОДИМЫЕ РЕСУРСЫ.</w:t>
      </w:r>
    </w:p>
    <w:bookmarkEnd w:id="105"/>
    <w:bookmarkStart w:name="z118" w:id="106"/>
    <w:p>
      <w:pPr>
        <w:spacing w:after="0"/>
        <w:ind w:left="0"/>
        <w:jc w:val="both"/>
      </w:pPr>
      <w:r>
        <w:rPr>
          <w:rFonts w:ascii="Times New Roman"/>
          <w:b w:val="false"/>
          <w:i w:val="false"/>
          <w:color w:val="000000"/>
          <w:sz w:val="28"/>
        </w:rPr>
        <w:t xml:space="preserve">
      Для внедрения вышеуказанных мер необходимо развивать соответствующую инфраструктуру и вовлекать субъекты бизнеса в данную сферу. </w:t>
      </w:r>
    </w:p>
    <w:bookmarkEnd w:id="106"/>
    <w:bookmarkStart w:name="z119" w:id="107"/>
    <w:p>
      <w:pPr>
        <w:spacing w:after="0"/>
        <w:ind w:left="0"/>
        <w:jc w:val="both"/>
      </w:pPr>
      <w:r>
        <w:rPr>
          <w:rFonts w:ascii="Times New Roman"/>
          <w:b w:val="false"/>
          <w:i w:val="false"/>
          <w:color w:val="000000"/>
          <w:sz w:val="28"/>
        </w:rPr>
        <w:t>
      5. ПЛАН МЕРОПРИЯТИЙ ПО РЕАЛИЗАЦИИ ПРОГРАММЫ</w:t>
      </w:r>
    </w:p>
    <w:bookmarkEnd w:id="107"/>
    <w:bookmarkStart w:name="z120" w:id="108"/>
    <w:p>
      <w:pPr>
        <w:spacing w:after="0"/>
        <w:ind w:left="0"/>
        <w:jc w:val="both"/>
      </w:pPr>
      <w:r>
        <w:rPr>
          <w:rFonts w:ascii="Times New Roman"/>
          <w:b w:val="false"/>
          <w:i w:val="false"/>
          <w:color w:val="000000"/>
          <w:sz w:val="28"/>
        </w:rPr>
        <w:t>
      При проведении анализа в области обращения с отходами по городу Каратау можно оценить в целом, как удовлетворительно. Разрешительные документы на полигон ТБО имеются, организован вывоз и транспортировка отходов, на площадках временного хранения отходов предусмотрен раздельный сбор отходов, проводиться частичная сортировка отходов.</w:t>
      </w:r>
    </w:p>
    <w:bookmarkEnd w:id="108"/>
    <w:bookmarkStart w:name="z121" w:id="109"/>
    <w:p>
      <w:pPr>
        <w:spacing w:after="0"/>
        <w:ind w:left="0"/>
        <w:jc w:val="both"/>
      </w:pPr>
      <w:r>
        <w:rPr>
          <w:rFonts w:ascii="Times New Roman"/>
          <w:b w:val="false"/>
          <w:i w:val="false"/>
          <w:color w:val="000000"/>
          <w:sz w:val="28"/>
        </w:rPr>
        <w:t>
      В системе управления отходами предлагаем следующие мероприятия:</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Областной и местный бюджет, инвесторы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мусорных контейнеров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(по мере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спецтехники для вывоза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МИО</w:t>
            </w:r>
          </w:p>
          <w:bookmarkEnd w:id="110"/>
          <w:p>
            <w:pPr>
              <w:spacing w:after="20"/>
              <w:ind w:left="20"/>
              <w:jc w:val="both"/>
            </w:pPr>
            <w:r>
              <w:rPr>
                <w:rFonts w:ascii="Times New Roman"/>
                <w:b w:val="false"/>
                <w:i w:val="false"/>
                <w:color w:val="000000"/>
                <w:sz w:val="20"/>
              </w:rPr>
              <w:t>
Организации занимающиеся транспортировкой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и местный бюджет, собственные средства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производства по мусоропереработки, сортировки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и местный бюджет, инвесторы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площадки для мойки транспортных средств и мытья контейнеров. Сточные воды от мытья контейнеров и транспортных средств использовать для увлажнения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нагрузки на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складировании и перевозке соблюдать правила пожарной и санитарной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нагрузки на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занимающиеся транспортировкой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транспортных средствах установить маркировку – знаки, указывающие на тип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о транспортировки содержимого груза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занимающиеся транспортировкой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Установить систему спутниковой навигации на автотранспорте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эффективного управления процессом (перемещение транспортного средства с отходами)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занимающиеся транспортировкой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достоверного учета движения отходов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ОтчҰтность по отходам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занимающиеся транспортировкой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