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7df4" w14:textId="b757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Сарыаркинского сельского округа Аягозского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30 декабря 2024 года № 20/405-VIII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и самоуправлении в Республике Казахстан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Аягозского районного маслихата области Абай от 16.05.2025 </w:t>
      </w:r>
      <w:r>
        <w:rPr>
          <w:rFonts w:ascii="Times New Roman"/>
          <w:b w:val="false"/>
          <w:i w:val="false"/>
          <w:color w:val="000000"/>
          <w:sz w:val="28"/>
        </w:rPr>
        <w:t>№ 25/455-VIII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Сарыаркинского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–59885,0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54659,0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60962,2тысяч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- 1077,2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1077,2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1077,2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18.12.2025 </w:t>
      </w:r>
      <w:r>
        <w:rPr>
          <w:rFonts w:ascii="Times New Roman"/>
          <w:b w:val="false"/>
          <w:i w:val="false"/>
          <w:color w:val="000000"/>
          <w:sz w:val="28"/>
        </w:rPr>
        <w:t>№ 31/557-VIII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№20/405-VІІI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Cарыаркинского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18.12.2025 </w:t>
      </w:r>
      <w:r>
        <w:rPr>
          <w:rFonts w:ascii="Times New Roman"/>
          <w:b w:val="false"/>
          <w:i w:val="false"/>
          <w:color w:val="ff0000"/>
          <w:sz w:val="28"/>
        </w:rPr>
        <w:t>№ 31/557-VIII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Пуступления за использивание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№20/405-VІІI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Cарыаркинского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№20/405-VІІI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Cарыаркинского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