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fe1e" w14:textId="9fef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в населенных пунктах Мангистауского района</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13 декабря 2023 года № 7/54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правила проведения раздельных сходов местного сообщества в населенных пунктах Мангистауского района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решение Мангистауского районного маслихата от 13 декабря 2021 года </w:t>
      </w:r>
      <w:r>
        <w:rPr>
          <w:rFonts w:ascii="Times New Roman"/>
          <w:b w:val="false"/>
          <w:i w:val="false"/>
          <w:color w:val="000000"/>
          <w:sz w:val="28"/>
        </w:rPr>
        <w:t>9/70</w:t>
      </w:r>
      <w:r>
        <w:rPr>
          <w:rFonts w:ascii="Times New Roman"/>
          <w:b w:val="false"/>
          <w:i w:val="false"/>
          <w:color w:val="000000"/>
          <w:sz w:val="28"/>
        </w:rPr>
        <w:t xml:space="preserve"> "Об утверждении правил проведения раздельных сходов местного сообщества в населенных пунктах Мангистауского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декабря 2023 года №7/54</w:t>
            </w:r>
          </w:p>
        </w:tc>
      </w:tr>
    </w:tbl>
    <w:bookmarkStart w:name="z8" w:id="4"/>
    <w:p>
      <w:pPr>
        <w:spacing w:after="0"/>
        <w:ind w:left="0"/>
        <w:jc w:val="left"/>
      </w:pPr>
      <w:r>
        <w:rPr>
          <w:rFonts w:ascii="Times New Roman"/>
          <w:b/>
          <w:i w:val="false"/>
          <w:color w:val="000000"/>
        </w:rPr>
        <w:t xml:space="preserve"> Правила проведения раздельных сходов местного сообщества в населенных пунктах Мангистауского района</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в населенных пунктах Мангистауского района разработаны в соответствии со статьей 39-3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устанавливают порядок проведения раздельных сходов местного сообщества в населенных пунктах Мангистауского района.</w:t>
      </w:r>
    </w:p>
    <w:bookmarkEnd w:id="6"/>
    <w:bookmarkStart w:name="z1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2"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8"/>
    <w:bookmarkStart w:name="z13"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4"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5"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1"/>
    <w:bookmarkStart w:name="z16"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17" w:id="13"/>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3"/>
    <w:bookmarkStart w:name="z18"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19"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5"/>
    <w:bookmarkStart w:name="z20" w:id="16"/>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6"/>
    <w:bookmarkStart w:name="z21"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2"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8"/>
    <w:bookmarkStart w:name="z23" w:id="19"/>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9"/>
    <w:bookmarkStart w:name="z24"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20"/>
    <w:bookmarkStart w:name="z25"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26" w:id="22"/>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22"/>
    <w:bookmarkStart w:name="z27"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28"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29"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25"/>
    <w:bookmarkStart w:name="z30"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1"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2"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3"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34"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35"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