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e640" w14:textId="c18e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Бухар-Жырауского районного маслихата от 28 декабря 2021 года № 7 "О бюджетах сел, поселков и сельских округов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декабря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бюджетах сел, поселков и сельских округов района на 2022-2024 годы" от 28 декабря 2021 года №7 (зарегистрировано в Реестре государственной регистрации нормативных правовых актов под №163111)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441 805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413 418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446 618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4 813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129 917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194 997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16 772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6 228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171 997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196 406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1 409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232 470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137 211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95 259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235 496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4 879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192 774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20 737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1 210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170 827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194 319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43 260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148 717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14 545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7 350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126 822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150 463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72 361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3 431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68 930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73 253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96 894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7 628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89 266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98 031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77 829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7 786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70 043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78 497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131 889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8 035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123 131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132 525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163 553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27 278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1 915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134 187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166 875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79 617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78 101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80 494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32 822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30 815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32 918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41 276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1 678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39 598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42 356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28 098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37 889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1 953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35 936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38 063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32 002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43 532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41 232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43 861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38 374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1 238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36 824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38 857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23 649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57 429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56 108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57 429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35 467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66 090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2 566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63 524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66 253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71 588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3 311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68 277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71 786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51 938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4 442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47 496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53 185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1 247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64 144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2 588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354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61 202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64 240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69 947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7 464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1 975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60 508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70 991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1 044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79 813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4 473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75 340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80 068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42 267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1 203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41 064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42 267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50 442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5 512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5 214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39 716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51 015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27 506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69 212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3 479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65 733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69 586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38 941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71 914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1 179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529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70 206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72 663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749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72 470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8 202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64 268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73 015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54 394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44 387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10 007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56 154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1 760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2022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2022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2022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2022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2022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2022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2022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2022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2022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2022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2022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2022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2022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2022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2022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2022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№7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