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e933" w14:textId="e4be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Актогайском районе</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14 октября 2022 года № 57/01.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Актогайском районе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Актогайского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Актогайского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14 октября 2022 года</w:t>
            </w:r>
            <w:r>
              <w:br/>
            </w:r>
            <w:r>
              <w:rPr>
                <w:rFonts w:ascii="Times New Roman"/>
                <w:b w:val="false"/>
                <w:i w:val="false"/>
                <w:color w:val="000000"/>
                <w:sz w:val="20"/>
              </w:rPr>
              <w:t>№ 57/01</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в Актогайском районе</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Актогайского района Карагандинской области от 02.04.2026 </w:t>
      </w:r>
      <w:r>
        <w:rPr>
          <w:rFonts w:ascii="Times New Roman"/>
          <w:b w:val="false"/>
          <w:i w:val="false"/>
          <w:color w:val="ff0000"/>
          <w:sz w:val="28"/>
        </w:rPr>
        <w:t>№ 32/01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Актогайском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и устанавливают порядок предоставления и оплаты коммунальных услуг.</w:t>
      </w:r>
    </w:p>
    <w:bookmarkStart w:name="z15"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6" w:id="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7"/>
    <w:bookmarkStart w:name="z17" w:id="8"/>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8"/>
    <w:bookmarkStart w:name="z18" w:id="9"/>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9"/>
    <w:bookmarkStart w:name="z19" w:id="10"/>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0" w:id="11"/>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2" w:id="13"/>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3" w:id="14"/>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4" w:id="15"/>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5"/>
    <w:bookmarkStart w:name="z25" w:id="16"/>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6" w:id="17"/>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7" w:id="18"/>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8"/>
    <w:bookmarkStart w:name="z28" w:id="19"/>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9"/>
    <w:bookmarkStart w:name="z29" w:id="20"/>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30" w:id="21"/>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1"/>
    <w:bookmarkStart w:name="z31" w:id="22"/>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2"/>
    <w:bookmarkStart w:name="z32" w:id="23"/>
    <w:p>
      <w:pPr>
        <w:spacing w:after="0"/>
        <w:ind w:left="0"/>
        <w:jc w:val="both"/>
      </w:pPr>
      <w:r>
        <w:rPr>
          <w:rFonts w:ascii="Times New Roman"/>
          <w:b w:val="false"/>
          <w:i w:val="false"/>
          <w:color w:val="000000"/>
          <w:sz w:val="28"/>
        </w:rPr>
        <w:t>
      17)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3" w:id="24"/>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4"/>
    <w:bookmarkStart w:name="z34" w:id="25"/>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5"/>
    <w:bookmarkStart w:name="z35" w:id="26"/>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6"/>
    <w:bookmarkStart w:name="z36" w:id="27"/>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7"/>
    <w:bookmarkStart w:name="z37" w:id="28"/>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8"/>
    <w:bookmarkStart w:name="z38" w:id="29"/>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9"/>
    <w:bookmarkStart w:name="z39" w:id="30"/>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0"/>
    <w:bookmarkStart w:name="z40" w:id="31"/>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1"/>
    <w:bookmarkStart w:name="z41" w:id="32"/>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2"/>
    <w:bookmarkStart w:name="z42" w:id="33"/>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3"/>
    <w:bookmarkStart w:name="z43" w:id="34"/>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4"/>
    <w:bookmarkStart w:name="z44" w:id="3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5"/>
    <w:bookmarkStart w:name="z45" w:id="3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6"/>
    <w:bookmarkStart w:name="z46" w:id="3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7"/>
    <w:bookmarkStart w:name="z47" w:id="38"/>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8"/>
    <w:bookmarkStart w:name="z48" w:id="39"/>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9"/>
    <w:bookmarkStart w:name="z49" w:id="4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0"/>
    <w:bookmarkStart w:name="z50"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1"/>
    <w:bookmarkStart w:name="z51" w:id="4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2"/>
    <w:bookmarkStart w:name="z52" w:id="4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3"/>
    <w:bookmarkStart w:name="z53" w:id="44"/>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4"/>
    <w:bookmarkStart w:name="z54" w:id="45"/>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5"/>
    <w:bookmarkStart w:name="z55" w:id="4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6"/>
    <w:bookmarkStart w:name="z56" w:id="47"/>
    <w:p>
      <w:pPr>
        <w:spacing w:after="0"/>
        <w:ind w:left="0"/>
        <w:jc w:val="both"/>
      </w:pPr>
      <w:r>
        <w:rPr>
          <w:rFonts w:ascii="Times New Roman"/>
          <w:b w:val="false"/>
          <w:i w:val="false"/>
          <w:color w:val="000000"/>
          <w:sz w:val="28"/>
        </w:rPr>
        <w:t>
      2) электроснабжения – в соответствии с качеством электрической энергии, установленным законодательством Республики Казахстан – круглосуточно в течение года;</w:t>
      </w:r>
    </w:p>
    <w:bookmarkEnd w:id="47"/>
    <w:bookmarkStart w:name="z57" w:id="48"/>
    <w:p>
      <w:pPr>
        <w:spacing w:after="0"/>
        <w:ind w:left="0"/>
        <w:jc w:val="both"/>
      </w:pPr>
      <w:r>
        <w:rPr>
          <w:rFonts w:ascii="Times New Roman"/>
          <w:b w:val="false"/>
          <w:i w:val="false"/>
          <w:color w:val="000000"/>
          <w:sz w:val="28"/>
        </w:rPr>
        <w:t>
      3) холодного и горячего водоснабжения – в соответствии с качеством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8"/>
    <w:bookmarkStart w:name="z58" w:id="4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9"/>
    <w:bookmarkStart w:name="z59" w:id="50"/>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50"/>
    <w:bookmarkStart w:name="z60" w:id="5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1"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2" w:id="53"/>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3"/>
    <w:bookmarkStart w:name="z63" w:id="54"/>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4" w:id="55"/>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обеспечивающим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5" w:id="56"/>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6" w:id="57"/>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Актогайского района".</w:t>
      </w:r>
    </w:p>
    <w:bookmarkEnd w:id="57"/>
    <w:bookmarkStart w:name="z67" w:id="58"/>
    <w:p>
      <w:pPr>
        <w:spacing w:after="0"/>
        <w:ind w:left="0"/>
        <w:jc w:val="both"/>
      </w:pPr>
      <w:r>
        <w:rPr>
          <w:rFonts w:ascii="Times New Roman"/>
          <w:b w:val="false"/>
          <w:i w:val="false"/>
          <w:color w:val="000000"/>
          <w:sz w:val="28"/>
        </w:rPr>
        <w:t>
      13. Государственное учреждение "Отдел жилищно-коммунального хозяйства, пассажирского транспорта, автомобильных дорог и жилищной инспекции Актогайского района"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8"/>
    <w:bookmarkStart w:name="z68" w:id="59"/>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69" w:id="60"/>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70" w:id="61"/>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организовывают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Карагандинского областного маслихата от 14 марта 2013 года №129 (зарегистрировано в реестре государственной регистрации нормативных правовых актов № 2311).</w:t>
      </w:r>
    </w:p>
    <w:bookmarkEnd w:id="61"/>
    <w:bookmarkStart w:name="z71" w:id="62"/>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72" w:id="63"/>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3"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4"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5"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76"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7"/>
    <w:bookmarkStart w:name="z77"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78"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79"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80"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81" w:id="72"/>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2"/>
    <w:bookmarkStart w:name="z82" w:id="73"/>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3"/>
    <w:bookmarkStart w:name="z83" w:id="74"/>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4"/>
    <w:bookmarkStart w:name="z84" w:id="75"/>
    <w:p>
      <w:pPr>
        <w:spacing w:after="0"/>
        <w:ind w:left="0"/>
        <w:jc w:val="both"/>
      </w:pPr>
      <w:r>
        <w:rPr>
          <w:rFonts w:ascii="Times New Roman"/>
          <w:b w:val="false"/>
          <w:i w:val="false"/>
          <w:color w:val="000000"/>
          <w:sz w:val="28"/>
        </w:rPr>
        <w:t>
      22. Потребитель:</w:t>
      </w:r>
    </w:p>
    <w:bookmarkEnd w:id="75"/>
    <w:bookmarkStart w:name="z85"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6"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87"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88"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89"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90" w:id="8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91"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92"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3" w:id="84"/>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жилищно-коммунального хозяйства".</w:t>
      </w:r>
    </w:p>
    <w:bookmarkEnd w:id="84"/>
    <w:bookmarkStart w:name="z94" w:id="85"/>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5"/>
    <w:bookmarkStart w:name="z95" w:id="86"/>
    <w:p>
      <w:pPr>
        <w:spacing w:after="0"/>
        <w:ind w:left="0"/>
        <w:jc w:val="both"/>
      </w:pPr>
      <w:r>
        <w:rPr>
          <w:rFonts w:ascii="Times New Roman"/>
          <w:b w:val="false"/>
          <w:i w:val="false"/>
          <w:color w:val="000000"/>
          <w:sz w:val="28"/>
        </w:rPr>
        <w:t>
      23. Поставщик:</w:t>
      </w:r>
    </w:p>
    <w:bookmarkEnd w:id="86"/>
    <w:bookmarkStart w:name="z96" w:id="8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7"/>
    <w:bookmarkStart w:name="z97" w:id="88"/>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8"/>
    <w:bookmarkStart w:name="z98" w:id="89"/>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9"/>
    <w:bookmarkStart w:name="z99" w:id="90"/>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0"/>
    <w:bookmarkStart w:name="z100" w:id="91"/>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1"/>
    <w:bookmarkStart w:name="z101" w:id="92"/>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92"/>
    <w:bookmarkStart w:name="z102" w:id="93"/>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3"/>
    <w:bookmarkStart w:name="z103" w:id="94"/>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4"/>
    <w:bookmarkStart w:name="z104" w:id="95"/>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5"/>
    <w:bookmarkStart w:name="z105" w:id="96"/>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6"/>
    <w:bookmarkStart w:name="z106" w:id="97"/>
    <w:p>
      <w:pPr>
        <w:spacing w:after="0"/>
        <w:ind w:left="0"/>
        <w:jc w:val="left"/>
      </w:pPr>
      <w:r>
        <w:rPr>
          <w:rFonts w:ascii="Times New Roman"/>
          <w:b/>
          <w:i w:val="false"/>
          <w:color w:val="000000"/>
        </w:rPr>
        <w:t xml:space="preserve"> Глава 4. Порядок расчета и оплаты коммунальных услуг</w:t>
      </w:r>
    </w:p>
    <w:bookmarkEnd w:id="97"/>
    <w:bookmarkStart w:name="z107" w:id="98"/>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предоставления коммунальных услуг, утвержденным приказом исполняющего обязанности Министра индустрии и инфраструктурного развития Республики Казахстан от 29 апреля 2020 года №249 (зарегистрировано в Реестре государственной регистрации нормативных правовых актов № 20542).</w:t>
      </w:r>
    </w:p>
    <w:bookmarkEnd w:id="98"/>
    <w:bookmarkStart w:name="z108" w:id="99"/>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9"/>
    <w:bookmarkStart w:name="z109" w:id="100"/>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0"/>
    <w:bookmarkStart w:name="z110" w:id="101"/>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1"/>
    <w:bookmarkStart w:name="z111" w:id="102"/>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2"/>
    <w:bookmarkStart w:name="z112" w:id="103"/>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3"/>
    <w:bookmarkStart w:name="z113" w:id="104"/>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4"/>
    <w:bookmarkStart w:name="z114" w:id="105"/>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05"/>
    <w:bookmarkStart w:name="z115" w:id="106"/>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6"/>
    <w:bookmarkStart w:name="z116" w:id="107"/>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7"/>
    <w:bookmarkStart w:name="z117" w:id="108"/>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8"/>
    <w:bookmarkStart w:name="z118" w:id="109"/>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09"/>
    <w:bookmarkStart w:name="z119" w:id="110"/>
    <w:p>
      <w:pPr>
        <w:spacing w:after="0"/>
        <w:ind w:left="0"/>
        <w:jc w:val="left"/>
      </w:pPr>
      <w:r>
        <w:rPr>
          <w:rFonts w:ascii="Times New Roman"/>
          <w:b/>
          <w:i w:val="false"/>
          <w:color w:val="000000"/>
        </w:rPr>
        <w:t xml:space="preserve"> Глава 5. Требования и порядок работы ЕРЦ.</w:t>
      </w:r>
    </w:p>
    <w:bookmarkEnd w:id="110"/>
    <w:bookmarkStart w:name="z120" w:id="111"/>
    <w:p>
      <w:pPr>
        <w:spacing w:after="0"/>
        <w:ind w:left="0"/>
        <w:jc w:val="both"/>
      </w:pPr>
      <w:r>
        <w:rPr>
          <w:rFonts w:ascii="Times New Roman"/>
          <w:b w:val="false"/>
          <w:i w:val="false"/>
          <w:color w:val="000000"/>
          <w:sz w:val="28"/>
        </w:rPr>
        <w:t>
      36. Государственное учреждение "Отдел жилищно-коммунального хозяйства, пассажирского транспорта, автомобильных дорог и жилищной инспекции Актогайского района" организуют конкурс по отбору ЕРЦ на основании утвержденных критериев, соответствующих требованиям законодательства.</w:t>
      </w:r>
    </w:p>
    <w:bookmarkEnd w:id="111"/>
    <w:bookmarkStart w:name="z121" w:id="112"/>
    <w:p>
      <w:pPr>
        <w:spacing w:after="0"/>
        <w:ind w:left="0"/>
        <w:jc w:val="both"/>
      </w:pPr>
      <w:r>
        <w:rPr>
          <w:rFonts w:ascii="Times New Roman"/>
          <w:b w:val="false"/>
          <w:i w:val="false"/>
          <w:color w:val="000000"/>
          <w:sz w:val="28"/>
        </w:rPr>
        <w:t>
      37. На территории Актогайского района государственным учреждением "Отдел жилищно-коммунального хозяйства, пассажирского транспорта, автомобильных дорог и жилищной инспекции Актогайского района" может быть определен один или несколько ЕРЦ, которые осуществляют деятельность в пределах района, включая его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2"/>
    <w:bookmarkStart w:name="z122" w:id="113"/>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3"/>
    <w:bookmarkStart w:name="z123" w:id="114"/>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4"/>
    <w:bookmarkStart w:name="z124" w:id="115"/>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5"/>
    <w:bookmarkStart w:name="z125" w:id="116"/>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с соответствие с установленными требованиями.</w:t>
      </w:r>
    </w:p>
    <w:bookmarkEnd w:id="116"/>
    <w:bookmarkStart w:name="z126" w:id="117"/>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7"/>
    <w:bookmarkStart w:name="z127" w:id="118"/>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8"/>
    <w:bookmarkStart w:name="z128" w:id="119"/>
    <w:p>
      <w:pPr>
        <w:spacing w:after="0"/>
        <w:ind w:left="0"/>
        <w:jc w:val="both"/>
      </w:pPr>
      <w:r>
        <w:rPr>
          <w:rFonts w:ascii="Times New Roman"/>
          <w:b w:val="false"/>
          <w:i w:val="false"/>
          <w:color w:val="000000"/>
          <w:sz w:val="28"/>
        </w:rPr>
        <w:t>
      44. В случае выявления несоответствий ЕРЦ инициирует:</w:t>
      </w:r>
    </w:p>
    <w:bookmarkEnd w:id="119"/>
    <w:bookmarkStart w:name="z129" w:id="120"/>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0"/>
    <w:bookmarkStart w:name="z130" w:id="121"/>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1"/>
    <w:bookmarkStart w:name="z131" w:id="122"/>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2"/>
    <w:bookmarkStart w:name="z132" w:id="123"/>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3"/>
    <w:bookmarkStart w:name="z133" w:id="124"/>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4"/>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p>
      <w:pPr>
        <w:spacing w:after="0"/>
        <w:ind w:left="0"/>
        <w:jc w:val="both"/>
      </w:pPr>
      <w:r>
        <w:rPr>
          <w:rFonts w:ascii="Times New Roman"/>
          <w:b w:val="false"/>
          <w:i w:val="false"/>
          <w:color w:val="000000"/>
          <w:sz w:val="28"/>
        </w:rPr>
        <w:t>
      3) зафиксировать в случае выявления ошибок и несоответствий в журнале регистрации и несоответствий с оформлением акта о несоответствии или внутреннего служебного отчета.</w:t>
      </w:r>
    </w:p>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p>
      <w:pPr>
        <w:spacing w:after="0"/>
        <w:ind w:left="0"/>
        <w:jc w:val="both"/>
      </w:pPr>
      <w:r>
        <w:rPr>
          <w:rFonts w:ascii="Times New Roman"/>
          <w:b w:val="false"/>
          <w:i w:val="false"/>
          <w:color w:val="000000"/>
          <w:sz w:val="28"/>
        </w:rPr>
        <w:t>
      47. Требования к ЕРЦ:</w:t>
      </w:r>
    </w:p>
    <w:bookmarkStart w:name="z138" w:id="125"/>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25"/>
    <w:bookmarkStart w:name="z139" w:id="126"/>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26"/>
    <w:bookmarkStart w:name="z140" w:id="127"/>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7"/>
    <w:bookmarkStart w:name="z141" w:id="128"/>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28"/>
    <w:bookmarkStart w:name="z142" w:id="12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29"/>
    <w:bookmarkStart w:name="z143" w:id="130"/>
    <w:p>
      <w:pPr>
        <w:spacing w:after="0"/>
        <w:ind w:left="0"/>
        <w:jc w:val="both"/>
      </w:pPr>
      <w:r>
        <w:rPr>
          <w:rFonts w:ascii="Times New Roman"/>
          <w:b w:val="false"/>
          <w:i w:val="false"/>
          <w:color w:val="000000"/>
          <w:sz w:val="28"/>
        </w:rPr>
        <w:t>
      48. Функции ЕРЦ:</w:t>
      </w:r>
    </w:p>
    <w:bookmarkEnd w:id="130"/>
    <w:bookmarkStart w:name="z144" w:id="13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1"/>
    <w:bookmarkStart w:name="z145" w:id="13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2"/>
    <w:bookmarkStart w:name="z146" w:id="13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3"/>
    <w:bookmarkStart w:name="z147" w:id="134"/>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4"/>
    <w:bookmarkStart w:name="z148" w:id="135"/>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35"/>
    <w:bookmarkStart w:name="z149" w:id="136"/>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36"/>
    <w:bookmarkStart w:name="z150" w:id="137"/>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37"/>
    <w:bookmarkStart w:name="z151" w:id="138"/>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38"/>
    <w:bookmarkStart w:name="z152" w:id="139"/>
    <w:p>
      <w:pPr>
        <w:spacing w:after="0"/>
        <w:ind w:left="0"/>
        <w:jc w:val="both"/>
      </w:pPr>
      <w:r>
        <w:rPr>
          <w:rFonts w:ascii="Times New Roman"/>
          <w:b w:val="false"/>
          <w:i w:val="false"/>
          <w:color w:val="000000"/>
          <w:sz w:val="28"/>
        </w:rPr>
        <w:t>
      49. Оценка результативности деятельности ЕРЦ:</w:t>
      </w:r>
    </w:p>
    <w:bookmarkEnd w:id="139"/>
    <w:bookmarkStart w:name="z153" w:id="14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0"/>
    <w:bookmarkStart w:name="z154" w:id="14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1"/>
    <w:bookmarkStart w:name="z155" w:id="142"/>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2"/>
    <w:bookmarkStart w:name="z156" w:id="143"/>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3"/>
    <w:bookmarkStart w:name="z157" w:id="144"/>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4"/>
    <w:bookmarkStart w:name="z158" w:id="145"/>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45"/>
    <w:bookmarkStart w:name="z159" w:id="146"/>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46"/>
    <w:bookmarkStart w:name="z160" w:id="147"/>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счета;</w:t>
      </w:r>
    </w:p>
    <w:bookmarkEnd w:id="147"/>
    <w:bookmarkStart w:name="z161" w:id="14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Актогайского района" осуществляют контроль за достижением установленных ориентиров в рамках договорных отношений с ЕРЦ;</w:t>
      </w:r>
    </w:p>
    <w:bookmarkEnd w:id="148"/>
    <w:bookmarkStart w:name="z162" w:id="14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49"/>
    <w:bookmarkStart w:name="z163" w:id="15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0"/>
    <w:bookmarkStart w:name="z164" w:id="15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1"/>
    <w:bookmarkStart w:name="z165" w:id="152"/>
    <w:p>
      <w:pPr>
        <w:spacing w:after="0"/>
        <w:ind w:left="0"/>
        <w:jc w:val="left"/>
      </w:pPr>
      <w:r>
        <w:rPr>
          <w:rFonts w:ascii="Times New Roman"/>
          <w:b/>
          <w:i w:val="false"/>
          <w:color w:val="000000"/>
        </w:rPr>
        <w:t xml:space="preserve"> Глава 6. Порядок разрешения разногласий</w:t>
      </w:r>
    </w:p>
    <w:bookmarkEnd w:id="152"/>
    <w:bookmarkStart w:name="z166" w:id="153"/>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коммунальной услуги надлежащего качества.</w:t>
      </w:r>
    </w:p>
    <w:bookmarkEnd w:id="153"/>
    <w:bookmarkStart w:name="z167" w:id="154"/>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4"/>
    <w:bookmarkStart w:name="z168" w:id="15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5"/>
    <w:bookmarkStart w:name="z169" w:id="15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56"/>
    <w:bookmarkStart w:name="z170" w:id="157"/>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57"/>
    <w:bookmarkStart w:name="z171" w:id="15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58"/>
    <w:bookmarkStart w:name="z172" w:id="159"/>
    <w:p>
      <w:pPr>
        <w:spacing w:after="0"/>
        <w:ind w:left="0"/>
        <w:jc w:val="both"/>
      </w:pPr>
      <w:r>
        <w:rPr>
          <w:rFonts w:ascii="Times New Roman"/>
          <w:b w:val="false"/>
          <w:i w:val="false"/>
          <w:color w:val="000000"/>
          <w:sz w:val="28"/>
        </w:rPr>
        <w:t>
      2) характер ухудшения качества коммунальных услуг;</w:t>
      </w:r>
    </w:p>
    <w:bookmarkEnd w:id="159"/>
    <w:bookmarkStart w:name="z173" w:id="16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0"/>
    <w:bookmarkStart w:name="z174" w:id="16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1"/>
    <w:bookmarkStart w:name="z175" w:id="16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2"/>
    <w:bookmarkStart w:name="z176" w:id="16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подписываются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3"/>
    <w:bookmarkStart w:name="z177" w:id="16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4"/>
    <w:bookmarkStart w:name="z178" w:id="16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5"/>
    <w:bookmarkStart w:name="z179" w:id="166"/>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6"/>
    <w:bookmarkStart w:name="z180" w:id="16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67"/>
    <w:bookmarkStart w:name="z181" w:id="16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68"/>
    <w:bookmarkStart w:name="z182" w:id="16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69"/>
    <w:bookmarkStart w:name="z183" w:id="170"/>
    <w:p>
      <w:pPr>
        <w:spacing w:after="0"/>
        <w:ind w:left="0"/>
        <w:jc w:val="both"/>
      </w:pPr>
      <w:r>
        <w:rPr>
          <w:rFonts w:ascii="Times New Roman"/>
          <w:b w:val="false"/>
          <w:i w:val="false"/>
          <w:color w:val="000000"/>
          <w:sz w:val="28"/>
        </w:rPr>
        <w:t>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0"/>
    <w:bookmarkStart w:name="z184" w:id="171"/>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истечению тридцати календарных дней поставщик передает иск в суд о взыскании с потребителя предъявленной суммы.</w:t>
      </w:r>
    </w:p>
    <w:bookmarkEnd w:id="171"/>
    <w:bookmarkStart w:name="z185" w:id="172"/>
    <w:p>
      <w:pPr>
        <w:spacing w:after="0"/>
        <w:ind w:left="0"/>
        <w:jc w:val="left"/>
      </w:pPr>
      <w:r>
        <w:rPr>
          <w:rFonts w:ascii="Times New Roman"/>
          <w:b/>
          <w:i w:val="false"/>
          <w:color w:val="000000"/>
        </w:rPr>
        <w:t xml:space="preserve"> Глава 7. Заключительные положения</w:t>
      </w:r>
    </w:p>
    <w:bookmarkEnd w:id="172"/>
    <w:bookmarkStart w:name="z186" w:id="173"/>
    <w:p>
      <w:pPr>
        <w:spacing w:after="0"/>
        <w:ind w:left="0"/>
        <w:jc w:val="both"/>
      </w:pPr>
      <w:r>
        <w:rPr>
          <w:rFonts w:ascii="Times New Roman"/>
          <w:b w:val="false"/>
          <w:i w:val="false"/>
          <w:color w:val="000000"/>
          <w:sz w:val="28"/>
        </w:rPr>
        <w:t>
      55. Вопросы в сфере предоставления коммунальных услуг неурегулированные настоящими Правилами, регулируются иными законодательными актами Республики Казахстан.</w:t>
      </w:r>
    </w:p>
    <w:bookmarkEnd w:id="173"/>
    <w:bookmarkStart w:name="z187" w:id="17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в Актогайском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75"/>
    <w:p>
      <w:pPr>
        <w:spacing w:after="0"/>
        <w:ind w:left="0"/>
        <w:jc w:val="both"/>
      </w:pPr>
      <w:r>
        <w:rPr>
          <w:rFonts w:ascii="Times New Roman"/>
          <w:b w:val="false"/>
          <w:i w:val="false"/>
          <w:color w:val="000000"/>
          <w:sz w:val="28"/>
        </w:rPr>
        <w:t>
      Біріңғай төлем құжаты/Единый платежный документ</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76"/>
    <w:p>
      <w:pPr>
        <w:spacing w:after="0"/>
        <w:ind w:left="0"/>
        <w:jc w:val="both"/>
      </w:pPr>
      <w:r>
        <w:rPr>
          <w:rFonts w:ascii="Times New Roman"/>
          <w:b w:val="false"/>
          <w:i w:val="false"/>
          <w:color w:val="000000"/>
          <w:sz w:val="28"/>
        </w:rPr>
        <w:t>
      Төлеу мерзімі " " жыл/Срок оплаты " " года</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