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8f40" w14:textId="5258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23 декабря 2021 года № 95 "Об утверждении Уилского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26 декабря 2022 года № 193.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2022-2024 годы" от 23 декабря 2021 года №95 (зарегистрированное в Реестре государственной регистрации нормативных правовых актов №162383)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7 185 215,8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631 066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6 528 535,8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7 377 375,8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12 492,1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46 468,1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-204 652,1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204 652,1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46 468,1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192 160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61 000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12 817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10 210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13 294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24 895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10 434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36 264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23 821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1 380 тысяч тенге – на повышение эффективности деятельности депутатов маслихатов.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районном бюджете на 2022 год поступление целевых текущих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90 098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11 255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36 265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1 126 073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142 329 тысяч тенге – на развитие рынка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районном бюджете на 2022 год поступление целевых трансфертов на развитие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446 283 тысяч тенге –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2022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64 308 тысяч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33 663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39 271 тысяч тенге – на развитие индустриальной инфраструктуры в рамках Государственной программы поддержки и развития бизнеса "Дорожная карта бизнеса-2025".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2022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268 429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4 423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13 038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8 431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90 361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14 405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5 890 тысяч тенге – на приобретение автотранспорта для призывного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15 774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200 тысяч тенге – на поддержку культурно-досуговой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26 декабря 2022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23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7 185 215,8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291 829,9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6 528 535,8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6 523 611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6 523 611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7 377 375,8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530 918,8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