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a8ba" w14:textId="f77a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Протокола, касающегося изменения статьи 50 а) Конвенции о международной гражданской авиации, и Протокола, касающегося изменения статьи 56 Конвенции о международной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апреля 2026 года № 276-VIII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Протокол, касающийся изменения статьи 50 a) Конвенции о международной гражданской авиации, и Протокол, касающийся изменения статьи 56 Конвенции о международной гражданской авиации, совершенные в Монреале 6 октября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