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53f9" w14:textId="d925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Турецкой Республики о международных комбинированных перевозках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мая 2024 года № 81-VIII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 о международных комбинированных перевозках грузов, совершенное в Анкаре 10 мая 2022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Турецкой Республики о международных комбинированных перевозках грузов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далее именуемые "Стороны",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упрощению международных грузовых перевозок через интермодальные решения,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увеличение грузовых перевозок между Республикой Казахстан и Турецкой Республикой,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интеграции транспортных сетей государств Европы, Балтийского региона, Черного моря, Среднего Востока и Кавказа,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возродить исторический Шелковый путь и в стремлении улучшить Транскаспийский Средний коридор Восток-Запад, соединяющий Казахстан и Турцию по железнодорожной линии Баку - Тбилиси - Карс,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 необходимость содействия развитию современных железнодорожных и водных транспортных путей в дополнение к автодорожной системе, в целях предоставления альтернативных решений с социальными, экономическими и экологическими преимуществами,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полагая, что система комбинированных перевозок имеет высокий потенциал и возможность для упрощения международных грузовых перевозок,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</w:t>
      </w:r>
      <w:r>
        <w:br/>
      </w:r>
      <w:r>
        <w:rPr>
          <w:rFonts w:ascii="Times New Roman"/>
          <w:b/>
          <w:i w:val="false"/>
          <w:color w:val="000000"/>
        </w:rPr>
        <w:t xml:space="preserve">Сфера применения 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применяется в сфере международных комбинированных перевозок грузов, выполняемых по железной дороге, водными и/или автомобильными путями на транспортном средстве, зарегистрированном на территории государств одной из Сторон, между территориями государств каждой из Сторон, или транзитом через территорию государства одной или обеих Сторон.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затрагивает прав и обязательств государств Сторон, вытекающих из других международных договоров, участниками которых являются эти государства.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нижеприведенные определения означают следующее: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/>
          <w:i w:val="false"/>
          <w:color w:val="000000"/>
          <w:sz w:val="28"/>
        </w:rPr>
        <w:t>интермодальная перевозка грузов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последовательное использование различных видов транспорта для перевозки грузов от грузоотправителя до грузополучателя в интермодальной/комбинированной загрузочной транспортной единице;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/>
          <w:i w:val="false"/>
          <w:color w:val="000000"/>
          <w:sz w:val="28"/>
        </w:rPr>
        <w:t>комбинированная перевозка грузов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интермодальная перевозка грузов, при которой большая часть пути приходится на железные дороги или морской путь, а также начальный и/или заключительный этап максимально коротким путем выполняется по автомобильным дорогам;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/>
          <w:i w:val="false"/>
          <w:color w:val="000000"/>
          <w:sz w:val="28"/>
        </w:rPr>
        <w:t>автотранспортное средство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моторное транспортное средство или комбинация автотранспортных средств (автотранспортные средства с прицепом, полуприцепом), где моторное средство зарегистрировано на территории одного из государств Сторон и используется исключительно для автомобильных перевозок грузов;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/>
          <w:i w:val="false"/>
          <w:color w:val="000000"/>
          <w:sz w:val="28"/>
        </w:rPr>
        <w:t>загрузочная единица интермодальной/комбинированной перевозки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контейнер, съемный кузов, полуприцеп/прицеп, грузовое моторное автотранспортное средство, подходящие для комбинированных перевозок;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/>
          <w:i w:val="false"/>
          <w:color w:val="000000"/>
          <w:sz w:val="28"/>
        </w:rPr>
        <w:t>комбинированный грузовой терминал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место, приспособленное для перегрузки и хранения загрузочных единиц при интермодальных/комбинированных перевозках;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/>
          <w:i w:val="false"/>
          <w:color w:val="000000"/>
          <w:sz w:val="28"/>
        </w:rPr>
        <w:t>перевозка из/в комбинированного грузового терминала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перемещение загрузочной единицы интермодальной/комбинированной перевозки от пункта пересечения государственной границы или пункта отправления на территории государств Сторон до ближайшего железнодорожного терминала или морского порта на маршруте; перемещение по автомобильной дороге от железнодорожного терминала или морского порта до ближайшего пункта пересечения государственной границы на маршруте или пункта назначения;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/>
          <w:i w:val="false"/>
          <w:color w:val="000000"/>
          <w:sz w:val="28"/>
        </w:rPr>
        <w:t>сопровождаемая смешанная перевозка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перевозка автотранспортных средств в сопровождении водителя другим видом транспорта (например: поездом или паромом);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/>
          <w:i w:val="false"/>
          <w:color w:val="000000"/>
          <w:sz w:val="28"/>
        </w:rPr>
        <w:t>несопровождаемая смешанная перевозка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перевозка автотранспортных средств или прицепов без сопровождения водителя другим видом транспорта или перевозка контейнеров или сменных кузовов несколькими видами транспорта;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/>
          <w:i w:val="false"/>
          <w:color w:val="000000"/>
          <w:sz w:val="28"/>
        </w:rPr>
        <w:t>специальное 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документ, дающий перевозчику право на выполнение перевозок крупногабаритных, тяжеловесных и опасных грузов автотранспортным средством в соответствии с национальным законодательством государства Стороны, по территории которого осуществляется перевозка;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/>
          <w:i w:val="false"/>
          <w:color w:val="000000"/>
          <w:sz w:val="28"/>
        </w:rPr>
        <w:t>совместный комитет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Совместный комитет по международным комбинированным перевозкам, созданный в соответствии с положениями статьи 9 настоящего Соглашения;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/>
          <w:i w:val="false"/>
          <w:color w:val="000000"/>
          <w:sz w:val="28"/>
        </w:rPr>
        <w:t>перевозчик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любое физическое или юридическое лицо, имеющее право на выполнение перевозок пассажиров и грузов путем аренды, покупки или приобретения в лизинг любой загрузочной единицы в соответствии с национальным законодательством государств Сторон;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/>
          <w:i w:val="false"/>
          <w:color w:val="000000"/>
          <w:sz w:val="28"/>
        </w:rPr>
        <w:t>габарит погрузки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максимальная высота и ширина железнодорожных транспортных средств и грузов, разрешенные Сторонами для обеспечения безопасного прохождения через мосты, туннели и другие сооружения транспортной инфраструктуры.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  <w:r>
        <w:br/>
      </w:r>
      <w:r>
        <w:rPr>
          <w:rFonts w:ascii="Times New Roman"/>
          <w:b/>
          <w:i w:val="false"/>
          <w:color w:val="000000"/>
        </w:rPr>
        <w:t>Компетентные органы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настоящем Соглашении компетентными органами Сторон определяются: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 Республики Казахстан - Министерство индустрии и инфраструктурного развития;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 Турецкой Республики - Министерство транспорта и инфраструктуры. 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наименования или функций указанных компетентных органов, Стороны незамедлительно информируют друг друга по дипломатическим каналам. Данные изменения не должны влиять на непрерывность или исполнение настоящего Соглашения.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Сопровождаемая комбинированная перевозка грузов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Операции грузовых перевозок зарегистрированными транспортными средствами, начинающиеся с пересечения государственной границы или от любых погрузочных пунктов, расположенных на территории государств Сторон, и заканчивающиеся в пунктах выгрузки комбинированных перевозок, расположенных на территории государства другой Стороны, должны осуществляться беспрерывно.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в соответствии с международными нормами прилагают усилия для сокращения времени нахождения грузовых поездов в пунктах пропуска через государственную границу.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Несопровождаемая смешанная перевозка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Перевозка интермодальной/комбинированной транспортной загрузочной единицы между двумя грузовыми терминалами комбинированных перевозок, расположенными на территории государства Стороны, осуществляется только транспортными средствами, зарегистрированными в государстве этой Стороны.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Комбинированные грузовые терминалы, предназначенные для осуществления таких транспортных операций, определяются и вносятся в список на заседании Совместного комитета.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прилагают необходимые усилия, чтобы способствовать региональной инициативе и международным проектам, от которых зависит увеличение операций контейнерного блок-поезда международной торговли государств Европы, Балтийского региона, регионов Черного моря и Среднего Востока в целях перемещения груза от автомобильного к более надежному, экологичному и эффективному виду транспорта.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  <w:r>
        <w:br/>
      </w:r>
      <w:r>
        <w:rPr>
          <w:rFonts w:ascii="Times New Roman"/>
          <w:b/>
          <w:i w:val="false"/>
          <w:color w:val="000000"/>
        </w:rPr>
        <w:t>Пересечение государственной границы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въезде или выезде с территории государства Стороны транспортные средства, физические и юридические лица, выполняющие комбинированные перевозки грузов, а также перевозимые товары проходят контроль в соответствии с национальным законодательством государства этой Стороны в случае отсутствия существующего разрешения, транспортное средство не допускается к осуществлению перевозки на территории государства Стороны въезда.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Перевозчик или поставщик услуг и их команда будут соблюдать национальное законодательство и инструкции (правила) государств Сторон.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  <w:r>
        <w:br/>
      </w:r>
      <w:r>
        <w:rPr>
          <w:rFonts w:ascii="Times New Roman"/>
          <w:b/>
          <w:i w:val="false"/>
          <w:color w:val="000000"/>
        </w:rPr>
        <w:t>Продвижение комбинированных грузовых перевозок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предоставят соответствующие соединения и транзитные услуги на железнодорожных линиях, связывающих государства Сторон, в частности, для международных контейнерных блок-поездов и операций Ro-La.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прилагают усилия для завершения таможенных процедур при приемке поездов на своей территории своего государства в максимально короткие сроки.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предоставляют необходимую инфраструктуру и соответствующее обустройство на территории своих государств с целью создания условий для ускоренного прохождения поездов через государственные границы.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  <w:r>
        <w:br/>
      </w:r>
      <w:r>
        <w:rPr>
          <w:rFonts w:ascii="Times New Roman"/>
          <w:b/>
          <w:i w:val="false"/>
          <w:color w:val="000000"/>
        </w:rPr>
        <w:t>Облегчение железнодорожно-паромных и Ro-Ro операций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осуществляют регулярные железнодорожно-паромные и Ro-Ro операции по Каспийскому морю для обеспечения гарантии перевозок грузов на международном железнодорожном пароме и Ro-Ro операций через порты.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обеспечивают соответствующим соединением и транзитными услугами на железнодорожных линиях, связывающих территории государств Сторон, в особенности для контейнерных, железнодорожно-паромных и Ro-Ro операций.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необходимости Стороны оказывают необходимое содействие друг другу для обеспечения эффективного выполнения комбинированных транспортных перевозок, которые должным образом обеспечат непрерывную транспортную цепочку по маршруту.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  <w:r>
        <w:br/>
      </w:r>
      <w:r>
        <w:rPr>
          <w:rFonts w:ascii="Times New Roman"/>
          <w:b/>
          <w:i w:val="false"/>
          <w:color w:val="000000"/>
        </w:rPr>
        <w:t>Сотрудничество и Совместный комитет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содействуют обмену информацией между компетентными органами с целью выполнения настоящего Соглашения.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обмениваются профессиональным и техническим опытом в области комбинированных перевозок, в частности, логистических центров/комбинированных грузовых терминалов/сухих портов. В этой связи Стороны согласились организовать, в случае необходимости, учебные сессии и семинары для увеличения знаний своих сотрудников в сфере комбинированных перевозок.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регулирования всех вопросов в отношении выполнения настоящего Соглашения Стороны создают Совместный комитет, состоящий из представителей Сторон. Совместный комитет состоит из государственных должностных лиц Сторон, а также представителей сектора комбинированных перевозок.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Точная дата и место проведения первого заседания Совместного комитета будут определены по дипломатическим каналам с даты вступления в силу настоящего Соглашения. Совместный комитет проводит свои заседания не реже одного раза в год, поочередно на территории государств Сторон. Повестка дня предстоящих заседаний Совместного комитета должна быть доведена до Сторон за 2 недели до намеченного заседания.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развития и поощрения комбинированных перевозок Стороны в рамках Совместного комитета на основе взаимности издают документы, которые облегчают услуги комбинированных перевозок.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Помимо выполнения и реализации настоящего Соглашения Совместный комитет ответственен за обсуждение и решение проблем в области комбинированных перевозок, осуществляемых в рамках настоящего Соглашения. Совместный комитет может предлагать изменения или дополнения в положения настоящего Соглашения, которые принимаются в соответствии с положениями статьи 15 настоящего Соглашения.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  <w:r>
        <w:br/>
      </w:r>
      <w:r>
        <w:rPr>
          <w:rFonts w:ascii="Times New Roman"/>
          <w:b/>
          <w:i w:val="false"/>
          <w:color w:val="000000"/>
        </w:rPr>
        <w:t>Нарушения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если перевозчик/лицо, осуществляющие транспортные услуги, их члены или сотрудники нарушили национальное законодательство государства другой Стороны или положения настоящего Соглашения, компетентные органы Стороны, где произошло такое нарушение, могут принять следующие меры: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оповестить соответствующего перевозчика о необходимости соблюдения положений действующего национального законодательства;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серьезного нарушения, совершенного перевозчиком или поставщиком услуг, приостановить действие лицензии соответствующего перевозчика или запретить соответствующему перевозчику выполнять перевозки.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информируют друг друга о принятых мерах в отношении таких нарушений.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Положения пунктов настоящей статьи не препятствуют реализации национального законодательства государства Стороны, где произошло такое нарушение.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Защита данных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признают, что, за исключением официальных статистических данных и отчетов, все данные и информация, регулируемые настоящим Соглашением, защищаются от предоставления без разрешения другой Стороны третьим лицам.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Любые улики или доказательства, подлежащие судебным или административным процедурам, касающиеся преступлений или следствия, могут быть предоставлены государственным учреждениям, прокуратуре и судам. Распространение данных и информации, регулируемых настоящим Соглашением, подлежит письменному разрешению компетентных органов Сторон.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  <w:r>
        <w:br/>
      </w:r>
      <w:r>
        <w:rPr>
          <w:rFonts w:ascii="Times New Roman"/>
          <w:b/>
          <w:i w:val="false"/>
          <w:color w:val="000000"/>
        </w:rPr>
        <w:t>Форс-мажор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соглашаются выполнять взаимно согласованные совместные действия в чрезвычайных обстоятельствах или в случае, когда комбинированная грузовая перевозка прервана более чем на 12 часов.</w:t>
      </w:r>
    </w:p>
    <w:bookmarkEnd w:id="67"/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  <w:r>
        <w:br/>
      </w:r>
      <w:r>
        <w:rPr>
          <w:rFonts w:ascii="Times New Roman"/>
          <w:b/>
          <w:i w:val="false"/>
          <w:color w:val="000000"/>
        </w:rPr>
        <w:t>Соблюдение национального законодательства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Автоперевозчики и экипажи транспортных средств,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транспортные перевозки на территории государства каждой из Сторон, должны соблюдать национальное законодательство этого государства.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Соглашения не должны препятствовать мерам, касающимся ограничения транзитного проезда, причиняющего вред национальной безопасности государств Сторон.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применения таких мер, соответствующая Сторона должна проинформировать другую Сторону посредством официальной корреспонденции, включающей содержание, дату введения и продолжительность этих мер.</w:t>
      </w:r>
    </w:p>
    <w:bookmarkEnd w:id="72"/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  <w:r>
        <w:br/>
      </w:r>
      <w:r>
        <w:rPr>
          <w:rFonts w:ascii="Times New Roman"/>
          <w:b/>
          <w:i w:val="false"/>
          <w:color w:val="000000"/>
        </w:rPr>
        <w:t>Регулирование споров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 и разногласия, которые могут возникнуть между Сторонами относительно применения и толкования настоящего Соглашения, разрешаются Сторонами путем переговоров и консультаций в доброжелательной обстановке.</w:t>
      </w:r>
    </w:p>
    <w:bookmarkEnd w:id="74"/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  <w:r>
        <w:br/>
      </w:r>
      <w:r>
        <w:rPr>
          <w:rFonts w:ascii="Times New Roman"/>
          <w:b/>
          <w:i w:val="false"/>
          <w:color w:val="000000"/>
        </w:rPr>
        <w:t>Изменения и дополнения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являются его неотъемлемой частью и оформляются отдельными протоколами, вступающими в силу в порядке, предусмотренном для вступления в силу настоящего Соглашения.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 и прекращение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прекратить действие настоящего Соглашения направив письменное уведомление по дипломатическим каналам другой Стороне о своем решении прекратить его действие. В таком случае действие настоящего Соглашения прекращается по истечении 180 календарных дней с даты получения такого уведомления.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Анкаре 10 мая 2022 года в двух экземплярах, каждый на казахском, турецком, русском и английском языках, причем все тексты являются равно аутентичными.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 настоящего Соглашения, Стороны обращаются к тексту на английском языке.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