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0bcf" w14:textId="71e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195-VII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Течение срока наложения административного взыскания за административное правонарушение приостанавливается с момента назначения экспертизы, на период рассмотрения актов прокурорского надзора и реагирования, вынесения определения о приводе лица, в отношении которого ведется производство по делу, а также направления дела в суд или должностному лицу государственного органа, уполномоченному рассматривать дела об административных правонарушениях.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этих сроков возобновляется с момента получения результатов экспертизы, со дня принятия решения по акту прокурорского надзора и реагирования, а также фактического доставления лица, привлекаемого к административной ответственности, в орган (к должностному лицу), исполняющий определение о приводе.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привода не может превышать более одного месяца.";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Реализация (продажа) энергопроизводящей организацией электрической энергии, превышающей отпускную цену электрической энергии, за исключением случаев реализации (продажи) на спот-торгах (не более десяти процентов от объемов вырабатываемой такими организациями электрической энергии за календарный месяц), на балансирующем рынке, на экспорт и на централизованных торгах электрической энергией цифровым майнерам в рамках установленных квот, определяемых системным оператором, –";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693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"89, 90" заменить словами "89 (за исключением работодателей, состоящих в отношениях с государственным служащим), 90";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475" заменить словами "статьями 89 (в части правонарушений, совершенных работодателем, состоящим в отношениях с государственным служащим) и 475";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4-1 статьи 743 после слов "специальных учетов," дополнить словами "а также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919-1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а также его отдельных норм";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частей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приостановить до 1 января 2024 года.".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апреля 2023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