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6bd" w14:textId="210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ответственного обращения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2021 года № 99-VII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статьями 407-1 и 407-2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407-1. Жестокое обращение с животными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животными, если это деяние не содержит признаков уголовно наказуемого деяния, –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 – в размере десяти месячных расчетных показателей.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 – в размере сорока месячных расчетных показателей.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407-2. Нарушение законодательства Республики Казахстан в области ответственного обращения с животными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законодательством Республики Казахстан в области ответственного обращения с животными требований к: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отлову, временному содержанию и умерщвлению животных;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учету домашних животных;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содержанию животных в зоологических питомниках, приютах для животных, зоологических гостиницах, пунктах временного содержания животных, реабилитационных центрах для животных, за исключением случаев, предусмотренных абзацем третьим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содержанию и выгулу домашних животных;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перевозке животных, за исключением случаев, предусмотренных абзацем пятым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2-1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–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должностных лиц – в размере двадцати, на юридических лиц – в размере тридцати месячных расчетных показателей.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 – в размере тридцати, на юридических лиц – в размере сорока месячных расчетных показателей.";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408. Нарушение правил выпаса сельскохозяйственных животных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местными представительными органами областей, городов республиканского значения, столицы правил выпаса сельскохозяйственных животных –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 же действие, повлекшее причинение ущерба имуществу физических лиц, –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цифры "408" заменить цифрами "407-1, 407-2,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"197," дополнить цифрами "407-1, 407-2,";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"386," дополнить цифрами "407-1, 407-2,";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"396 (частью первой)," дополнить цифрами "407-1, 407-2,";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"396 (частью первой)," дополнить цифрами "407-1, 407-2,";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после цифр "388" дополнить цифрами ", 407-1, 407-2";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цифр "405," дополнить цифрами "407-1, 407-2,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>,";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цифр "386," дополнить цифрами "407-1, 407-2,".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сентября 2023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2025 года действие абзаца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установив, что в период приостановления данный абзац действует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содержанию животных в зоологических питомниках, приютах для животных, зоологических гостиницах, пунктах временного содержания животных, реабилитационных центрах для животных, передвижных зверинцах, контактных зоопарках, за исключением случаев, предусмотренных абзацем третьим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