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4000" w14:textId="dd94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ноября 2021 года № 74-VII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года, совершенный в Москве 31 октября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 (далее - Соглашение),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исключить.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4-2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4-2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Совместного предприятия по бюджетному кредиту конвертируются в уставный капитал Совместного предприятия путем дополнительного размещения простых акций и передачи их Казахстанской Стороне, выдавшей бюджетный кредит.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 космической деятельности "Роскосмос" и (или) ее организации могут передать Казахстанской Стороне необходимое для создания космического ракетного комплекса "Байтерек" имущество, находящееся в их собственности и расположенное на объектах комплекса "Байконур".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передаваемого имущества и порядок его передачи утверждаются Казахстанско-Российской межправительственной комиссией по комплексу "Байконур".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прием имущества осуществляются совместной комиссией, созданной компетентными органами Сторон.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прием имущества осуществляются в соответствии с законодательством каждого из государств Сторон в области экспортного контроля.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имеет право довести свою долю в Совместном предприятии до паритета с Казахстанской Стороной.".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начало летных испытаний космического ракетного комплекса "Байтерек" с ракетой-носителем среднего класса в 2023 году.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обеспечивают выполнение с космического ракетного комплекса "Байтерек" коммерческих заказов по выведению космических аппаратов на орбиты ракетой-носителем "Союз-5" и ее возможными модификациями, в количестве не менее двух пусков в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обеспечивает: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не менее трех испытательных пусков ракеты-носителя "Союз-5" с космического ракетного комплекса "Байтерек" до 2025 года;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заказов по выведению с космического ракетного комплекса "Байтерек" космических аппаратов на орбиты ракетой-носителем "Союз-5" и ее возможными модификациями, в количестве не менее двух пусков в год в период с 2025 по 2036 годы.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заказов по выведению с космического ракетного комплекса "Байтерек" космических аппаратов на орбиты ракетой-носителем "Союз-5" и ее возможными модификациями в период с 2025 по 2036 годы в рамках реализации государственных проектов Республики Казахстан.".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31 октября 2020 года в двух экземплярах, каждый на казахском и русском языках, причем оба текста имеют одинаковую силу. В случае расхождения между текстами настоящего Протокола, Стороны обращаются к тексту на русском языке.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