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16ec" w14:textId="0b61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Конституционный закон Республики Казахстан 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20 марта 2021 года № 19-VII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Конституционный закон вводится в действие с 1 июля 2021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ст.410; 2006 г., № 23, ст.136; 2008 г., № 20, ст.77; 2010 г., № 24, ст.147; 2012 г., № 5, ст.38; 2014 г., № 16, ст.89; № 21, ст.119; 2015 г., № 14, ст.75, 76; № 24, ст.174; 2017 г., № 6, ст.10; № 12, ст.33; № 14, ст.47; № 21, cт.103; 2018 г., № 24, ст.92; 2019 г., № 3-4, ст.11)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подпунктом 5)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судебная коллегия по административным делам (за исключением Военного суда Республики Казахстан).";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судебная коллегия по административным делам.";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о наличии стажа, прохождении стажировки, сдаче квалификационного экзамена, необходимости заключения пленарного заседания Верховного Суда не распространяются на кандидата на должность Председателя Верховного Суда, а также в случаях, предусмотренных частью восьмой пункта 4 статьи 30 настоящего Конституционного закона.".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Конституционный закон вводится в действие с 1 июля 2021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