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16ec" w14:textId="0b61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20 марта 2021 года № 19-VII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Конституционный закон вводится в действие с 1 июля 2021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ст.410; 2006 г., № 23, ст.136; 2008 г., № 20, ст.77; 2010 г., № 24, ст.147; 2012 г., № 5, ст.38; 2014 г., № 16, ст.89; № 21, ст.119; 2015 г., № 14, ст.75, 76; № 24, ст.174; 2017 г., № 6, ст.10; № 12, ст.33; № 14, ст.47; № 21, cт.103; 2018 г., № 24, ст.92; 2019 г., № 3-4, ст.11)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5)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судебная коллегия по административным делам (за исключением Военного суда Республики Казахстан).";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судебная коллегия по административным делам.";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о наличии стажа, прохождении стажировки, сдаче квалификационного экзамена, необходимости заключения пленарного заседания Верховного Суда не распространяются на кандидата на должность Председателя Верховного Суда, а также в случаях, предусмотренных частью восьмой пункта 4 статьи 30 настоящего Конституционного закона.".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Конституционный закон вводится в действие с 1 июля 2021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