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455a" w14:textId="bf64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(Активные меры по борьбе с СOVID-19 и программа поддержки расходов) между Республикой Казахстан и Азиатским Банком Инфраструктурных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2020 года № 388-VI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(Активные меры по борьбе с СOVID-19 и программа поддержки расходов) между Республикой Казахстан и Азиатским Банком Инфраструктурных Инвестиций, совершенное в Нур-Султане 26 августа 2020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Неофициальный перевод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ЗАЙМА L0405A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 </w:t>
      </w:r>
      <w:r>
        <w:br/>
      </w:r>
      <w:r>
        <w:rPr>
          <w:rFonts w:ascii="Times New Roman"/>
          <w:b/>
          <w:i w:val="false"/>
          <w:color w:val="000000"/>
        </w:rPr>
        <w:t>(Активные меры по борьбе с СOVID-19 и программа поддержки расходов) между</w:t>
      </w:r>
      <w:r>
        <w:br/>
      </w:r>
      <w:r>
        <w:rPr>
          <w:rFonts w:ascii="Times New Roman"/>
          <w:b/>
          <w:i w:val="false"/>
          <w:color w:val="000000"/>
        </w:rPr>
        <w:t>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и АЗИАТСКИМ БАНКОМ ИНФРАСТРУКТУРНЫХ ИНВЕСТИЦИЙ</w:t>
      </w:r>
      <w:r>
        <w:br/>
      </w:r>
      <w:r>
        <w:rPr>
          <w:rFonts w:ascii="Times New Roman"/>
          <w:b/>
          <w:i w:val="false"/>
          <w:color w:val="000000"/>
        </w:rPr>
        <w:t>от 26 августа 2020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23 декабря 2020 года, Бюллетень международных договоров РК 2020 г., № 6, ст. 31)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от 26 августа 2020 года (далее - Соглашение о займе) между Республикой Казахстан (далее - Заемщик) и Азиатским Банком Инфраструктурных Инвестиций (далее - Банк).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Банк получил письмо о политике развития от 5 июня 2020 года (далее - Письмо о политике развития), в котором излагаются определенные задачи, политики и действия, формирующие расходы Заемщика на контрциклическое развитие, связанные с пандемией COVID-19,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Соглашению о займе (далее - Программа);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Заемщик обратился к Банку с просьбой о выделении Займа для целей Программы;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финансирование на основе политики обеспечивает общую бюджетную поддержку Заемщику, и таким образом, средства Программы не предназначены для финансирования каких-либо конкретных расходов в какой-либо конкретной области Заемщика;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Банк выразил согласие, в частности на основании вышеизложенного на предоставление Заемщику Займа на условиях и положениях, изложенных в настоящем Соглашении о займе.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 Заемщик и Банк договорились о нижеследующем: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  <w:r>
        <w:br/>
      </w:r>
      <w:r>
        <w:rPr>
          <w:rFonts w:ascii="Times New Roman"/>
          <w:b/>
          <w:i w:val="false"/>
          <w:color w:val="000000"/>
        </w:rPr>
        <w:t>Общие условия; Определения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1.01. Общие условия (определенные в Дополнении к настоящему Соглашению о займе) являются неотъемлемой частью настоящего Соглашения о займе.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1.02. Если из контекста не следует иное, то используемые в настоящем Соглашении о займе термины, начинающиеся с заглавных букв, имеют значения, закрепленные за ними в Общих условиях или в Дополнении к настоящему Соглашению о займе.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  <w:r>
        <w:br/>
      </w:r>
      <w:r>
        <w:rPr>
          <w:rFonts w:ascii="Times New Roman"/>
          <w:b/>
          <w:i w:val="false"/>
          <w:color w:val="000000"/>
        </w:rPr>
        <w:t>Заем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2.01. Банк соглашается предоставить Заемщику Заем на сумму шестьсот шестьдесят один миллион восемьсот тысяч евро (661 800 000 евро) (далее - Заем) на условиях, изложенных в настоящем Соглашении о займе, или на которые в нем имеются ссылки, с целью оказания содействия в финансировании программы, описание которой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Соглашению о займе (далее - Программа).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2.02. Заемщик вправе снимать средства Займа в соответствии с Разделом III Приложения 2 к настоящему Соглашению о займе.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2.03. Единовременная комиссия, подлежащая уплате Заемщиком, составляет одну четвертую одного процента (0,25%) от суммы Займа. Заемщик уплачивает Единовременную комиссию не позднее, чем через 60 дней после Даты вступления в силу.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2.04. Комиссия за резервирование, подлежащая уплате Заемщиком, составляет одну четвертую одного процента (0,25%) годовых от неснятого остатка Займа.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2.05. Проценты, выплачиваемые Заемщиком за каждый процентный период, представляют собой референтную ставку плюс переменный спрэд или такую ставку, которая может применяться после конвертации в соответствии с Разделом 3.02(d) Общих условий.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2.06. Датами платежей являются 15 мая и 15 ноября каждого года.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2.07. Основная сумма Займа погашается в соответствии с положениями Приложения 3 к настоящему Соглашению о займе.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  <w:r>
        <w:br/>
      </w:r>
      <w:r>
        <w:rPr>
          <w:rFonts w:ascii="Times New Roman"/>
          <w:b/>
          <w:i w:val="false"/>
          <w:color w:val="000000"/>
        </w:rPr>
        <w:t>Программа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3.01. Заемщик заявляет о своей приверженности целям Программы. С этой целью Заемщик реализует Программу через Исполнительное агентство по Программе в соответствии с положениями Статьи IV Общих условий.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3.02. Не ограничиваясь положениями Раздел 3.01 настоящего Соглашения о займе, и если иное не согласовано между Заемщиком и Банком, Заемщик обеспечит реализацию Программы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Соглашению о займе.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4.01. Крайним сроком вступления в силу настоящего Соглашения о займе является дата, наступающая по истечении девяноста (90) дней после даты подписания настоящего Соглашения о займе.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</w:t>
      </w:r>
      <w:r>
        <w:br/>
      </w:r>
      <w:r>
        <w:rPr>
          <w:rFonts w:ascii="Times New Roman"/>
          <w:b/>
          <w:i w:val="false"/>
          <w:color w:val="000000"/>
        </w:rPr>
        <w:t>Представитель; адреса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5.01. Представителем Заемщика, уполномоченным для целей Раздела 9.02 Общих условий, является Министр финансов.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5.02. Адрес Заемщика для целей Раздела 9.01 Общих условий: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Мангилик Ел, 8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Нур-Султан, 010000,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 (+7 7172) 750352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5.03. Адрес Банка: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Инфраструктурных Инвестиций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Финансовый Центр, №1, Восточная улица Тяньчэнь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Чаоян, Пекин, 100033, Китайская Народная Республика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 +86-10-8358-0002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____________, ______________, в день и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указанные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Кем: 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Ф.И.О.: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Ерулан Жамаубаев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Должность: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АЗИАТСКИЙ БАНК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ИНФРАСТРУКТУРНЫХ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ИНВЕСТИЦИЙ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Кем:__ 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Ф.И.О.: Константин Лимитовский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Должность: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Вице-президент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 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Программы 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Программы является предоставление налогово-бюджетного стимулирования, включая смягчение серьезного негативного влияния пандемии COVID-19 на здоровье, доходы и экономические возможности. В рамки Программы входит реализация: (i) мер политики здравоохранения Заемщика против COVID-19 и борьбе с распространением пандемии; (ii) мер по социальной защите и восстановлению занятости для смягчения влияния на бедных и уязвимых и дестабилизации бизнесов и занятости; и (iii) мер экономического стимулирования Заемщика. Более подробное описание Программы содержится в Письме о политике развития.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Программы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 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Механизмы реализации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Институциональные механизмы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через Исполнительное агентство Программы является ответственным за реализацию Программы, включая мониторинг и представление отчетности.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обеспечивает,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</w:t>
      </w:r>
      <w:r>
        <w:rPr>
          <w:rFonts w:ascii="Times New Roman"/>
          <w:b/>
          <w:i w:val="false"/>
          <w:color w:val="000000"/>
          <w:sz w:val="28"/>
        </w:rPr>
        <w:t>. Политический диалог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через Исполнительное агентство Программы незамедлительно обсудит с Банком проблемы и ограничения, возникшие во время реализации Программы, а также соответствующие меры по их устранению и смягчению.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через Исполнительное агентство Программы будет информировать Банк в отношении обсуждений политики действий с другими многосторонними и двусторонними агентствами по оказанию помощи, которые могут иметь последствия для реализации Программы, и предоставит Банку возможность комментировать все вытекающие из них предложения по политике действий. Заемщик через Исполнительное агентство Программы примет во внимание точку зрения Банка до окончательного утверждения и реализации любого такого предложения.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C</w:t>
      </w:r>
      <w:r>
        <w:rPr>
          <w:rFonts w:ascii="Times New Roman"/>
          <w:b/>
          <w:i w:val="false"/>
          <w:color w:val="000000"/>
          <w:sz w:val="28"/>
        </w:rPr>
        <w:t>. Использование Партнерского финансирования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обеспечивает использование Партнерского финансирования для финансирования реализации определенных программ и мероприятий, соответствующих целям Программы.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D</w:t>
      </w:r>
      <w:r>
        <w:rPr>
          <w:rFonts w:ascii="Times New Roman"/>
          <w:b/>
          <w:i w:val="false"/>
          <w:color w:val="000000"/>
          <w:sz w:val="28"/>
        </w:rPr>
        <w:t>. Запрещенные практики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обеспечивает, чтобы его персонал и другие представители, участвующие в реализации Программы, придерживались самых высоких этических стандартов при реализации Программы. С этой целью Заемщик должен: (а) потребовать, чтобы каждое из этих лиц не занималось какими-либо запрещенными практиками в отношении Займа; и (b) обеспечить, чтобы Программа осуществлялась в соответствии с положениями Политики запрещенных практик.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 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Отчетность по мониторингу и оценка Программы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 Отчеты по Программе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будет осуществлять мониторинг, оценивать ход реализации Программы, представлять ежеквартальные отчеты до 6 месяцев после Даты вступления в силу и вступать в диалог с Банком на протяжении всего периода реализации Программы, в том числе по: (a) состоянию макроэкономического и финансового сектора, (b) реализации антикризисных мер в рамках плана Заемщика по борьбе с COVID-19, (с) исполнению бюджета, расходам и движению средств и (d) мерам и расходам, произведенным из республиканского бюджета на поддержку мер контрциклического развития, включая расходы на медицинские меры, социальную защиту и обеспечение занятости, меры экономического стимулирования и (е) отслеживанию бенефициаров программ социальной поддержки с гендерными индикаторами (с данными, дифференцированными по полу).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представит либо обеспечит представление Банку всей такой обоснованно запрошенной со стороны Банка отчетности и информации, касающейся (i) Партнерского финансирования и его использования; и (ii) реализации Программы, включая достижение целей и выполнение действий, предусмотренных в Письме о политике развития.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Раздела 4.08(с) Общих условий Отчет о завершении должен быть предоставлен Банку не позднее чем через шесть месяцев после Даты закрытия.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 </w:t>
      </w:r>
      <w:r>
        <w:rPr>
          <w:rFonts w:ascii="Times New Roman"/>
          <w:b/>
          <w:i w:val="false"/>
          <w:color w:val="000000"/>
          <w:sz w:val="28"/>
        </w:rPr>
        <w:t>III</w:t>
      </w:r>
      <w:r>
        <w:rPr>
          <w:rFonts w:ascii="Times New Roman"/>
          <w:b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Снятие средств Займа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 Общие положения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может снимать средства Займа в соответствии с положениями статьи II Общих условий, настоящего Раздела и тех дополнительных инструкций, которые укажет Банк в уведомлении Заемщику.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</w:t>
      </w:r>
      <w:r>
        <w:rPr>
          <w:rFonts w:ascii="Times New Roman"/>
          <w:b/>
          <w:i w:val="false"/>
          <w:color w:val="000000"/>
          <w:sz w:val="28"/>
        </w:rPr>
        <w:t>. Условия снятия; период снятия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Независимо от положений части А настоящего Раздела средства не должны сниматься со Счета Займа, пока Банк не получит полную сумму Единовременной комиссии.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/>
          <w:color w:val="000000"/>
          <w:sz w:val="28"/>
        </w:rPr>
        <w:t>Распределение суммы Займа</w:t>
      </w:r>
      <w:r>
        <w:rPr>
          <w:rFonts w:ascii="Times New Roman"/>
          <w:b w:val="false"/>
          <w:i w:val="false"/>
          <w:color w:val="000000"/>
          <w:sz w:val="28"/>
        </w:rPr>
        <w:t>. Заем выделяется в виде единовременного транша, средства которого Заемщик может снимать со Счета Займа. Распределение сумм Займа на эти цели представлено в таблице, приведенной ниже.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0978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Распределения
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Сумма выделенного Займа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(выражена в евро)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транш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661 800 000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661 800 000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3. </w:t>
      </w:r>
      <w:r>
        <w:rPr>
          <w:rFonts w:ascii="Times New Roman"/>
          <w:b w:val="false"/>
          <w:i/>
          <w:color w:val="000000"/>
          <w:sz w:val="28"/>
        </w:rPr>
        <w:t>Депонирование суммы Займа</w:t>
      </w:r>
      <w:r>
        <w:rPr>
          <w:rFonts w:ascii="Times New Roman"/>
          <w:b w:val="false"/>
          <w:i w:val="false"/>
          <w:color w:val="000000"/>
          <w:sz w:val="28"/>
        </w:rPr>
        <w:t>. За исключением случаев, когда иное согласовано с Банком: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все снятия средств со Счета Займа должны быть депонированы Банком на Депозитный счет, назначенный Заемщиком и приемлемый для Банка;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Заемщик должен обеспечить, что при каждом депонировании какой-либо суммы Займа на Депозитный счет, эквивалентная сумма будет учитываться в системе бюджетного управления Заемщика в форме, приемлемой для Банка.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Никакие средства Займа не должны сниматься для финансирования наименований, указанных в Дополнении 1 к настоящему Приложению 2.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Раздела 2.05(с) Общих условий и пункта 8 Дополнения к ним Датой закрытия является 31 декабря 2021 года.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С. Финансовые отчеты; Аудиты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должен вести или обеспечит ведение отдельной отчетности и документации по Депозитному счету в соответствии с последовательно применяемыми стандартами бухгалтерского учета, приемлемыми для Банка, и в надлежащем порядке для отражения отчетности и документации Депозитного счета.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при получении запроса Банка организовывает аудиторскую проверку финансовой отчетности исключительно в отношении средств Займа, Депозитного счета (далее - Финансовые отчеты) независимыми аудиторами, квалификация, опыт и круг полномочий которых приемлемы для Банка, в соответствии с последовательно применяемыми стандартами аудита, приемлемыми для Банка. Заемщик должен представить Банку Финансовые отчеты и мнения аудиторов на английском языке сразу после их подготовки, но в любом случае не позднее шести (6) месяцев после запроса Банка.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 </w:t>
      </w:r>
      <w:r>
        <w:rPr>
          <w:rFonts w:ascii="Times New Roman"/>
          <w:b/>
          <w:i w:val="false"/>
          <w:color w:val="000000"/>
          <w:sz w:val="28"/>
        </w:rPr>
        <w:t>IV</w:t>
      </w:r>
      <w:r>
        <w:rPr>
          <w:rFonts w:ascii="Times New Roman"/>
          <w:b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Другие обязательства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должен своевременно предоставлять по мере необходимости средства, оборудование, услуги и другие ресурсы, которые требуются помимо средств Займа для осуществления Программы.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Дополнение 1 к Приложению 2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исключений (неправомочных расходов)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средств Займа не будет производиться в отношении нижеследующего: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расходы, связанные с товарами, включенными в следующие группы или подгруппы Стандартной классификации международной торговли ООН, издание 3 (СКМТ, изд. 3), или какую-либо группу либо подгруппу, предусмотренную дальнейшими изменениями в СКМТ, как это будет указано в уведомлении Банка Заемщику: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Таблица: Неправомочные статьи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2913"/>
        <w:gridCol w:w="7630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Заголовок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статей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Табак, необработанный; отходы табачного производства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Табак, обработанный (содержащий или не содержащий табачные заменители)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и связанные с этим материалы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Жемчуг, драгоценные и полудрагоценные камни, необработанные или обработанные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их комплектующие; топливные элементы (картриджи), не излучающие радиацию для ядерных реакторов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728.43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или обработки табака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металлов группы золота, серебра или платины (за исключением наручных часов и корпусов для наручных часов) и золотые или серебряные изделия (включая драгоценные камни)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неденежное (за исключением золотой руды и концентратов)</w:t>
            </w:r>
          </w:p>
        </w:tc>
      </w:tr>
    </w:tbl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Источник: Организация Объединенных Наций.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расходы, связанные с товарами, поставленными на основе контрактов, по которым произведено или согласовано финансирование со стороны любой национальной или международной финансовой организации или агентства, включая любые контракты, финансируемые в рамках займов или грантов Банка;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расходы, связанные с товарами, предназначенными для военных или полувоенных целей, или с предметами роскоши;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расходы на наркотики;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(v) расходы на экологически опасные товары, производство, использование или импорт которых запрещены в соответствии с законодательством Заемщика или международными соглашениями, к которым присоединился Заемщик, и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(vi) расходы, связанные с платежами, запрещенными Заемщиком в соответствии с решением Совета Безопасности Организации Объединенных Наций, принятым в соответствии с Главой VII Устава Организации Объединенных Наций.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3 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нижеследующей таблице указаны даты погашения основного долга Займа и процент от общей основной суммы Займа, подлежащий оплате на каждую Дату погашения основного долга (далее - Доля погашения). Если средства Займа будут в полном объеме освоены на первую Дату погашения основного долга, основная сумма Займа, подлежащая оплате Заемщиком на каждую Дату погашения основного долга, будет определена Банком путем умножения: (а) суммы Займа, снятой на первую Дату погашения основного долга; на (b) Долю погашения на каждую Дату погашения основного долга.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4"/>
        <w:gridCol w:w="4806"/>
      </w:tblGrid>
      <w:tr>
        <w:trPr>
          <w:trHeight w:val="30" w:hRule="atLeast"/>
        </w:trPr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погашения основного долга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погашения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процентном выражении)
</w:t>
            </w:r>
          </w:p>
        </w:tc>
      </w:tr>
      <w:tr>
        <w:trPr>
          <w:trHeight w:val="30" w:hRule="atLeast"/>
        </w:trPr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15 мая и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15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15 ноября 2029 года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7,14%</w:t>
            </w:r>
          </w:p>
        </w:tc>
      </w:tr>
      <w:tr>
        <w:trPr>
          <w:trHeight w:val="30" w:hRule="atLeast"/>
        </w:trPr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2030 года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7,18%</w:t>
            </w:r>
          </w:p>
        </w:tc>
      </w:tr>
    </w:tbl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Если средства Займа не будут в полном объеме сняты на первую Дату погашения основного долга, то основная сумма Займа, которая будет подлежать погашению Заемщиком на каждую Дату погашения основного долга, будет определена следующим образом: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 той мере, в которой любые средства Займа были сняты на первую Дату погашения основного долга, Заемщик должен погасить сумму Займа, снятую на такую дату в соответствии с пунктом 1 настоящего Приложения;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Любые суммы, снятые после первой Даты погашения основного долга, должны погашаться на каждую Дату погашения основного долга после даты такого снятия в суммах, определяемых Банком путем умножения суммы каждого такого снятия на дробь, числителем которой является первоначальная сумма Доли погашения, указанная в таблице пункта 1 настоящего Приложения для этой Даты погашения основного долга (далее Первоначальная сумма Доли погашения платежа),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(а) суммы Займа, снятые в течение двух календарных месяцев, предшествующих любой Дате погашения основного долга, исключительно для целей расчета сумм основного долга, подлежащих выплате на любую Дату погашения основного долга, будут считаться снятыми и непогашенными на вторую Дату погашения основного долга, следующую после даты снятия, и будут подлежать погашению на каждую Дату погашения основного долга, начиная со второй Даты погашения основного долга, следующей после даты снятия.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Независимо от положений подпункта (а) настоящего пункта, если в любое время Банк внедрит систему выставления счетов на основе сроков платежей, при которой счета выписываются на соответствующую Дату погашения основного долга или после нее, положения этого подпункта не будут применяться к любым снятиям, совершенным после внедрения такой системы выставления счетов.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 I. Определения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"Заемщик" означает Получатель, так как указанный термин определен в Общих условиях.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"Партнерское финансирование" означает денежные средства в местной валюте, получаемые из средств Займа в рамках Программы.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"Депозитный счет" означает депозитный счет, назначенный Заемщиком и согласованный Банком, на который вносятся средства, снятые со Счета Займа, указанный в Разделе III.B.3. Приложения 2.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"Исполнительное агентство по Программе" означает Министерство финансов или любого его правопреемника, приемлемого для Банка.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"Общие условия" означают "Общие условия для суверенных займов Азиатского Банка Инфраструктурных Инвестиций" от 20 марта 2020 года.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"Письмо о политике развития" означает письмо о политике развития, указанное в Преамбуле (А) настоящего Соглашения о займе.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"Политика запрещенных практик" означает "Политику запрещенных практик" Банка от 8 декабря 2016 года.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 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/>
          <w:i w:val="false"/>
          <w:color w:val="000000"/>
          <w:sz w:val="28"/>
        </w:rPr>
        <w:t>. Поправки к Общим условиям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общие условия внесены следующие изменения: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тех случаях, когда в Общих условиях используется термин "Проект", этот термин должен быть заменен термином "Программа".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тех случаях, когда в Общих условиях используется термин "Исполнительное агентство по Проекту", этот термин должен быть заменен термином "Исполнительное агентство по Программе".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4.01. </w:t>
      </w:r>
      <w:r>
        <w:rPr>
          <w:rFonts w:ascii="Times New Roman"/>
          <w:b w:val="false"/>
          <w:i/>
          <w:color w:val="000000"/>
          <w:sz w:val="28"/>
        </w:rPr>
        <w:t>Общие принципы исполнения Проекта</w:t>
      </w:r>
      <w:r>
        <w:rPr>
          <w:rFonts w:ascii="Times New Roman"/>
          <w:b w:val="false"/>
          <w:i w:val="false"/>
          <w:color w:val="000000"/>
          <w:sz w:val="28"/>
        </w:rPr>
        <w:t> изменен в следующей редакции: "Раздел 4.01. </w:t>
      </w:r>
      <w:r>
        <w:rPr>
          <w:rFonts w:ascii="Times New Roman"/>
          <w:b w:val="false"/>
          <w:i/>
          <w:color w:val="000000"/>
          <w:sz w:val="28"/>
        </w:rPr>
        <w:t>Общие принципы исполнения Программы</w:t>
      </w:r>
      <w:r>
        <w:rPr>
          <w:rFonts w:ascii="Times New Roman"/>
          <w:b w:val="false"/>
          <w:i w:val="false"/>
          <w:color w:val="000000"/>
          <w:sz w:val="28"/>
        </w:rPr>
        <w:t>. Заемщик должен обеспечить выполнение Программы: (i) с должной бдительностью и эффективностью и в соответствии с рациональными административными, финансовыми, общественными, социальными методами и методами управления; и (ii) в соответствии с положениями Юридических соглашений.".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4.09. </w:t>
      </w:r>
      <w:r>
        <w:rPr>
          <w:rFonts w:ascii="Times New Roman"/>
          <w:b w:val="false"/>
          <w:i/>
          <w:color w:val="000000"/>
          <w:sz w:val="28"/>
        </w:rPr>
        <w:t>Финансовое управление; Финансовая отчетность; Аудит удален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перевод соответствует тексту Соглашения о займе (Активные меры по борьбе с СOVID-19 и программа поддержки расходов) между Республикой Казахстан и Азиатским Банком Инфраструктурных Инвестиций на английском языке, совершенного 26 августа 2020 года в Нур-Султане  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редактирования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лингвистической экспертизы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документов Департамента документооборота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Ахметжанова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