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c6514" w14:textId="4ac65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о внесении дополнения в Конвенцию между Правительством Республики Казахстан и Правительством Великого Герцогства Люксембург об избежании двойного налогообложения и предотвращении уклонения от налогообложения в отношении налогов на доход и капитал, подписанную в Астане 26 июня 2008 года, с учетом изменений, внесенных Протоколом, подписанным в Люксембурге 3 мая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14 октября 2020 года № 367-VI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дополнения в Конвенцию между Правительством Республики Казахстан и Правительством Великого Герцогства Люксембург об избежании двойного налогообложения и предотвращении уклонения от налогообложения в отношении налогов на доход и капитал, подписанную в Астане 26 июня 2008 года, с учетом изменений, внесенных Протоколом, подписанным в Люксембурге 3 мая 2012 года, совершенный в Нур-Султане и Люксембурге 14 октября 2019 года.   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   </w:t>
      </w:r>
      <w:r>
        <w:br/>
      </w:r>
      <w:r>
        <w:rPr>
          <w:rFonts w:ascii="Times New Roman"/>
          <w:b/>
          <w:i w:val="false"/>
          <w:color w:val="000000"/>
        </w:rPr>
        <w:t xml:space="preserve">о внесении дополнения в Конвенцию между Правительством Республики Казахстан и Правительством Великого Герцогства Люксембург об избежании двойного налогообложения и предотвращении уклонения от налогообложения в отношении налогов на доход и капитал, подписанную в Астане 26 июня 2008 года, с учетом изменений, внесенных Протоколом, подписанным в Люксембурге 3 мая 2012 года   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(Вступил в силу 6 ноября 2020 года, Бюллетень международных договоров РК 2020 г., № 6, ст. 27)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 Правительство Великого Герцогства Люксембург, 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внести дополнения в </w:t>
      </w:r>
      <w:r>
        <w:rPr>
          <w:rFonts w:ascii="Times New Roman"/>
          <w:b w:val="false"/>
          <w:i w:val="false"/>
          <w:color w:val="000000"/>
          <w:sz w:val="28"/>
        </w:rPr>
        <w:t>Конвенцию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Великого Герцогства Люксембург об избежании двойного налогообложения и предотвращении уклонения от налогообложения в отношении налогов на доход и капитал, подписанную в Астане 26 июня 2008 года, с учетом изменений, внесенных Протоколом, подписанным в Люксембурге 3 мая 2012 года (далее - "Конвенция"),  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 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</w:t>
      </w:r>
    </w:p>
    <w:bookmarkEnd w:id="5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Конвенции дополнить пунктом 2-1: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"2-1. Несмотря на положения пункта 2, дивиденды, выплачиваемые компанией, которая является резидентом одного Договаривающегося Государства, облагаются налогом только в другом Договаривающемся Государстве, если фактическим владельцем дивидендов является: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(а) в Казахстане: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(i) Правительство Республики Казахстан или центральный или местный орган власти;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(ii) Национальный Банк Республики Казахстан; или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(iii) любое другое учреждение, полностью принадлежащее Правительству Республики Казахстан, которое может согласовываться время от времени между компетентными органами Договаривающихся Государств; 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(b) в Люксембурге: 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(i) Правительство Люксембурга или местный орган власти;  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(ii) Центральный Банк Люксембурга; 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(iii) "Société Nationale de Crédit et d’Investissement" (Национальная компания по кредитованию и инвестициям); или 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(iv) любое другое учреждение, полностью принадлежащее Правительству Люксембурга, которое может согласовываться время от времени между компетентными органами Договаривающихся Государств." 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Каждое из Договаривающихся государств уведомляет другое по дипломатическим каналам о завершении процедур, необходимых в соответствии с национальным законодательством для вступления в силу настоящего Протокола. Протокол, который составляет неотъемлемую часть Конвенции, вступает в силу с даты получения последнего из этих уведомлений и применяется в обоих Договаривающихся Государствах за налогооблагаемые периоды, начинающиеся с или после первого января календарного года, следующего за годом вступления в силу настоящего Протокола.  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удостоверение чего нижеподписавшиеся, должным образом на то уполномоченные, подписали настоящий Протокол.  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двух подлинных экземплярах на французском, казахском, русском и английском языках, все тексты имеют одинаковую силу.  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2"/>
        <w:gridCol w:w="5948"/>
      </w:tblGrid>
      <w:tr>
        <w:trPr>
          <w:trHeight w:val="30" w:hRule="atLeast"/>
        </w:trPr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Нур-Султан, 14 октября 2019 г. 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Люксембург, 14 октября 2019 г.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 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 
</w:t>
            </w:r>
          </w:p>
        </w:tc>
      </w:tr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 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Великого Герцогства Люксембург 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ИЗПИ!      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Далее прилагается текст Протокола на французском и английском языках.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