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c6514" w14:textId="4ac65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Протокола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14 октября 2020 года № 367-VI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Протокол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года, совершенный в Нур-Султане и Люксембурге 14 октября 2019 года.    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 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   </w:t>
      </w:r>
      <w:r>
        <w:br/>
      </w:r>
      <w:r>
        <w:rPr>
          <w:rFonts w:ascii="Times New Roman"/>
          <w:b/>
          <w:i w:val="false"/>
          <w:color w:val="000000"/>
        </w:rPr>
        <w:t xml:space="preserve">о внесении дополнения в Конвенцию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   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(Вступил в силу 6 ноября 2020 года, Бюллетень международных договоров РК 2020 г., № 6, ст. 27)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и Правительство Великого Герцогства Люксембург, 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желая внести дополнения в </w:t>
      </w:r>
      <w:r>
        <w:rPr>
          <w:rFonts w:ascii="Times New Roman"/>
          <w:b w:val="false"/>
          <w:i w:val="false"/>
          <w:color w:val="000000"/>
          <w:sz w:val="28"/>
        </w:rPr>
        <w:t>Конвенцию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Великого Герцогства Люксембург об избежании двойного налогообложения и предотвращении уклонения от налогообложения в отношении налогов на доход и капитал, подписанную в Астане 26 июня 2008 года, с учетом изменений, внесенных Протоколом, подписанным в Люксембурге 3 мая 2012 года (далее - "Конвенция"),  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согласились о нижеследующем:  </w:t>
      </w:r>
    </w:p>
    <w:bookmarkEnd w:id="4"/>
    <w:bookmarkStart w:name="z1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 </w:t>
      </w:r>
    </w:p>
    <w:bookmarkEnd w:id="5"/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Статью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Конвенции дополнить пунктом 2-1:</w:t>
      </w:r>
    </w:p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"2-1. Несмотря на положения пункта 2, дивиденды, выплачиваемые компанией, которая является резидентом одного Договаривающегося Государства, облагаются налогом только в другом Договаривающемся Государстве, если фактическим владельцем дивидендов является: 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(а) в Казахстане: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Правительство Республики Казахстан или центральный или местный орган власти; 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Национальный Банк Республики Казахстан; или 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любое другое учреждение, полностью принадлежащее Правительству Республики Казахстан, которое может согласовываться время от времени между компетентными органами Договаривающихся Государств; 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(b) в Люксембурге:  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(i) Правительство Люксембурга или местный орган власти;   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(ii) Центральный Банк Люксембурга;  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(iii) "Société Nationale de Crédit et d’Investissement" (Национальная компания по кредитованию и инвестициям); или  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(iv) любое другое учреждение, полностью принадлежащее Правительству Люксембурга, которое может согласовываться время от времени между компетентными органами Договаривающихся Государств." 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Каждое из Договаривающихся государств уведомляет другое по дипломатическим каналам о завершении процедур, необходимых в соответствии с национальным законодательством для вступления в силу настоящего Протокола. Протокол, который составляет неотъемлемую часть Конвенции, вступает в силу с даты получения последнего из этих уведомлений и применяется в обоих Договаривающихся Государствах за налогооблагаемые периоды, начинающиеся с или после первого января календарного года, следующего за годом вступления в силу настоящего Протокола.  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удостоверение чего нижеподписавшиеся, должным образом на то уполномоченные, подписали настоящий Протокол.   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Совершено в двух подлинных экземплярах на французском, казахском, русском и английском языках, все тексты имеют одинаковую силу.   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2"/>
        <w:gridCol w:w="5948"/>
      </w:tblGrid>
      <w:tr>
        <w:trPr>
          <w:trHeight w:val="30" w:hRule="atLeast"/>
        </w:trPr>
        <w:tc>
          <w:tcPr>
            <w:tcW w:w="6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Нур-Султан, 14 октября 2019 г. </w:t>
            </w:r>
          </w:p>
        </w:tc>
        <w:tc>
          <w:tcPr>
            <w:tcW w:w="5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Люксембург, 14 октября 2019 г. 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683"/>
        <w:gridCol w:w="7617"/>
      </w:tblGrid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 Правительство 
</w:t>
            </w:r>
          </w:p>
        </w:tc>
      </w:tr>
      <w:tr>
        <w:trPr>
          <w:trHeight w:val="30" w:hRule="atLeast"/>
        </w:trPr>
        <w:tc>
          <w:tcPr>
            <w:tcW w:w="468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 Казахстан 
</w:t>
            </w:r>
          </w:p>
        </w:tc>
        <w:tc>
          <w:tcPr>
            <w:tcW w:w="76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Великого Герцогства Люксембург 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Примечание ИЗПИ!      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Далее прилагается текст Протокола на французском и английском языках.   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