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ef6a" w14:textId="b7be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защиты материнства и детства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мая 2020 года № 326-VІ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 (Ведомости Парламента Республики Казахстан, 1999 г., № 19, ст.649; 2002 г., № 4, ст.32; 2004 г., № 23, ст.142; 2009 г., № 15-16, ст.71; № 19, ст.88; 2010 г., № 7, ст.32; 2011 г., № 11, ст.102; 2012 г., № 4, ст.32; 2013 г., № 1, ст.2; № 16, ст.83; 2014 г., № 7, ст.37; № 11, ст.61; № 16, ст.90; № 19-I, 19-II, ст.96; № 21, ст.118, 122; 2015 г., № 1, ст.2; № 16, ст.79; № 22-I, ст.140; 2016 г., № 23, ст.118; № 24, ст.126; 2017 г., № 16, ст.56; № 23-III, ст.111; 2018 г., № 16, ст.56):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"проведения" заменить словом "организации";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осуществляет межотраслевую координацию по вопросам социальной реабилитации детей, пострадавших от террористической деятельности";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17-1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17-1. Социальная реабилитация детей, пострадавших от террористической деятельности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пострадавшим от террористической деятельности, обеспечивается социальная реабилитация в порядке и сроки, определяемые уполномоченным органом в области образования и науки.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реабилитация детей, пострадавших от террористической деятельности, включает в себя правовые, образовательные, психологические, медицинские, культурные и социально-бытовые услуги.".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 (Ведомости Парламента Республики Казахстан, 2005 г., № 12, ст.44; 2007 г., № 24, ст.178; 2009 г., № 23, ст.111; 2013 г., № 1, ст.3; № 14, ст.72; 2014 г., № 6, ст.28; № 19-І, 19-II, ст.96; 2015 г., № 6, ст.27; № 19-II, ст.106; № 22-II, ст.145; 2017 г., № 12, ст.36; 2018 г., № 14, ст.42; 2019 г., № 7, ст.39; № 21-22, ст.90; № 23, ст.106):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10: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"и более" исключить;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восьмерых и более детей – 4 месячных расчетных показателей на каждого ребенка;".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