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7047" w14:textId="245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регистрах выбросов и переноса загрязнителей к Конвенции о доступе к информации, участию общественности в процессе принятия решений и доступе к правосудию по вопросам, касающимся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декабря 2019 года № 279-VІ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регистрах выбросов и переноса загрязнителей к Конвенции о доступе к информации, участию общественности в процессе принятия решений и доступе к правосудию по вопросам, касающимся окружающей среды, совершенный в Киеве 21 мая 2003 года.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РЕГИСТРАХ ВЫБРОСОВ И ПЕРЕНОСА ЗАГРЯЗНИТЕЛЕЙ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22 апреля 2020 года, Бюллетень международных договоров РК 2020 г., № 4, ст. 16)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Стороны настоящего Протокола,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пункт 9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1998 года о доступе к информации, участии общественности в процессе принятия решений и доступе к правосудию по вопросам, касающимся окружающей среды (Орхусская конвенция),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регистры выбросов и переноса загрязнителей создают мощный механизм для повышения подотчетности корпораций, сокращения загрязнения и содействия устойчивому развитию, как указано в Луккской декларации, принятой на первом Совещании Сторон Орхусской конвенции,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 10 Рио-де-Жанейрской декларации по окружающей среде и развитию 1992 года,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также принципы и обязательства, согласованные на Конференции Организации Объединенных Наций по окружающей среде и развитию 1992 года, в частности положения главы 19 Повестки дня на XXI век,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принимая к сведению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Программу действий по дальнейшему осуществлению Повестки дня на XXI век, принятую Генеральной Ассамблеей Организации Объединенных Наций на ее девятнадцатой специальной сессии 1997 года, в которой она призвала, в частности, к наращиванию потенциала и возможностей стран в области сбора, обработки и распространения информации с целью расширения доступа общественности к информации о глобальных экологических проблемах с использованием соответствующих средств,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действий по осуществлению решений Всемирной встречи на высшем уровне по устойчивому развитию 2002 года, в котором содержится призыв обеспечивать накопление согласованной комплексной информации о химических веществах, например через национальные регистры выбросов и переноса загрязнителей,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принимая во внимание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работы Межправительственного форума по химической безопасности, в частности Баийскую декларацию по химической безопасности, Приоритеты для действий после 2000 года и План действий по регистрам выбросов и переноса загрязнителей/кадастрам выбросов,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принимая также во внимание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деятельность, осуществляемую в рамках Межорганизационной программы по безопасному обращению с химическими веществами,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принимая далее во внимание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деятельности Организации экономического сотрудничества и развития, в частности рекомендацию ее Совета о введении регистров выбросов и переноса загрязнителей, в которой Совет призывает страны-члены создать национальные регистры выбросов и переноса загрязнителей и обеспечить их доступность для общественности,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стремясь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создать механизм, способствующий реализации права каждого человека нынешнего и грядущих поколений жить в благоприятной для его здоровья и благосостояния окружающей среде путем создания доступных для общественности систем экологической информации,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стремясь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обеспечить, чтобы при создании и совершенствовании таких систем учитывались принципы, способствующие устойчивому развитию, например подход на основе принципа предосторожности, изложенный в принципе 15 Рио-де-Жанейрской декларации по окружающей среде и развитию 1992 года,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связь между адекватными информационными системами экологических данных и осуществлением прав, закрепленных в Орхусской конвенции,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необходимость сотрудничества с другими инициативами, касающимися загрязнителей и отходов, включая Стокгольмскую конвенцию о стойких органических загрязнителях 2001 года и Базельскую конвенцию о контроле за трансграничной перевозкой опасных отходов и их удалением 1989 года,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>, что цели комплексного подхода к сведению к минимуму загрязнения и объема отходов, образующихся в результате эксплуатации промышленных установок и из других источников, состоят в обеспечении высокого уровня защиты окружающей среды в целом, продвижении по пути устойчивого и экологически приемлемого развития, а также в защите здоровья нынешнего и грядущих поколений,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будучи убеждены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ценности регистров выбросов и переноса загрязнителей как экономически эффективного инструмента для содействия улучшению экологических показателей, для обеспечения доступа общественности к информации о выбросах загрязнителей в районах размещения общин и переносе загрязнителей в такие общины и через занимаемые ими территории, а также для использования правительствами при выявлении тенденций, демонстрации прогресса в деле сокращения загрязнения, контроля за соблюдением ряда международных соглашений, установления приоритетов и оценки прогресса, достигнутого путем реализации экологической политики и программ,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полагая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регистры выбросов и переноса загрязнителей могут обеспечить промышленности ощутимые выгоды благодаря совершенствованию управления загрязнителями,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возможности для использования данных из регистров выбросов и переноса загрязнителей в сочетании с медицинской, экологической, демографической, экономической или иной соответствующей информацией с целью углубления понимания потенциальных проблем, выявления "горячих точек", принятия предупредительных мер и мер по сглаживанию неблагоприятного воздействия, а также установления приоритетов в области рационального использования окружающей среды,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важность обеспечения конфиденциальности для идентифицированных или идентифицируемых физических лиц при обработке информации, представляемой для регистров выбросов и переноса загрязнителей в соответствии с применимыми международными нормами, касающимися защиты данных,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также важность создания и совершенствования сопоставимых на международном уровне национальных систем регистров выбросов и переноса загрязнителей для повышения уровня сопоставимости данных,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многие государства — члены Европейской экономической комиссии Организации Объединенных Наций, Европейское сообщество и Стороны Североамериканского соглашения о свободной торговле принимают меры по сбору данных, касающихся выбросов и переноса загрязнителей из различных источников, и по обеспечению доступности этих данных для общественности, и признавая, что особенно в этой области некоторые страны в течение длительного периода времени накопили ценный опыт,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различные подходы, применяемые в существующих регистрах выбросов, и необходимость избегать дублирования и признавая в этой связи необходимость обеспечения определенной степени гибкости,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настоятельно призывая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последовательно совершенствовать национальные регистры выбросов и переноса загрязнителей,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настоятельно призывая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также устанавливать связи между национальными регистрами выбросов и переноса загрязнителей и информационными системами по другим выбросам, вызывающим обеспокоенность у общественности,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договорились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  <w:r>
        <w:br/>
      </w:r>
      <w:r>
        <w:rPr>
          <w:rFonts w:ascii="Times New Roman"/>
          <w:b/>
          <w:i w:val="false"/>
          <w:color w:val="000000"/>
        </w:rPr>
        <w:t xml:space="preserve">Цель   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настоящего Протокола заключается в расширении доступа общественности к информации путем создания в соответствии с положениями настоящего Протокола согласованных, комплексных общенациональных регистров выбросов и переноса загрязнителей (РВПЗ), которые могли бы способствовать участию общественности в процессе принятия решений по вопросам, касающимся окружающей среды, а также содействовать предупреждению и сокращению загрязнения окружающей среды. 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Протокола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"Сторона", если в тексте не содержится иного указания, означает государство или региональную организацию экономической интеграции,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согласились быть связанными положениями настоящего Протокола и для которых Протокол вступил в силу.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"Конвенция" означает Конвенцию о доступе к информации, участии общественности в процессе принятия решений и доступе к правосудию по вопросам, касающимся окружающей среды, составленную в Орхусе, Дания, 25 июня 1998 года.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"Общественность" означает одно физическое или юридическое лицо или несколько таких лиц и, в соответствии с национальным законодательством или практикой, их ассоциации, организации или группы.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"Объект" означает одну или несколько установок на одном и том же участке или на прилегающих участках, которые находятся в собственности одного и того же физического или юридического лица или эксплуатируются одним и тем же физическим или юридическим лицом.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"Компетентный орган" означает национальный орган или органы или любое другое компетентное учреждение или учреждения, назначенные Стороной для ведения национальной системы регистров выбросов и переноса загрязнителей.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"Загрязнитель" означает вещество или группу веществ, которые могут быть вредны для окружающей среды или здоровья человека в силу их свойств и в результате их введения в окружающую среду.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"Выброс" означает любое введение загрязнителей в окружающую среду в результате любой антропогенной деятельности, независимо от того, является ли оно намеренным или аварийным, плановым или внеплановым, включая разлив, эмиссию, выпуск, закачку, удаление или сброс в отвал или через системы канализации без окончательной очистки сточных вод.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"Перенос за пределы участка" означает перемещение за пределы объекта загрязнителей или отходов, предназначенных для удаления или рекуперации, и загрязнителей, содержащихся в сточных водах, предназначенных для очистки.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"Диффузные источники" означают множество мелких или рассеянных источников, из которых загрязнители могут выбрасываться в землю, воздух или воду, совокупное воздействие которых на эти компоненты окружающей среды может быть значительным и для которых практически нецелесообразно собирать отчетность по каждому отдельному источнику.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Термины "национальный" и "общенациональный" по отношению к обязательствам, ложащимся в соответствии с настоящим Протоколом на Стороны, являющиеся региональными организациями экономической интеграции, понимаются, если в тексте не содержится иного указания, как относящиеся к данному региону.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"Отходы" означают вещества или предметы, которые: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удаляются или рекуперируются;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предназначены к удалению или рекуперации; или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подлежат удалению или рекуперации в соответствии с положениями национального законодательства.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"Опасные отходы" означают отходы, которые определяются в качестве опасных положениями национального законодательства.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"Иные отходы" означают отходы, не являющиеся опасными.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"Сточные воды" означают подлежащие регулированию национальным законодательством использованные воды, содержащие вещества или предметы. 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принимает необходимые законодательные, регулирующие и другие меры, а также надлежащие меры по обеспечению соблюдения в целях выполнения положений настоящего Протокола.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Протокола не затрагивают право Стороны вести или вводить более обширные или более доступные для общественности регистры выбросов и переноса загрязнителей, чем это требуется настоящим Протоколом.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принимает необходимые меры для обеспечения того, чтобы работники объекта и представители общественности, сообщающие в государственные органы о нарушении каким-либо объектом национальных законов, принятых в осуществление настоящего Протокола, не подвергались наказанию, преследованию или гонениям со стороны этого объекта или государственных органов за свои действия, связанные с сообщением о данном нарушении.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настоящего Протокола каждая Сторона руководствуется подходом на основе принципа предосторожности, изложенным в принципе 15 Рио-де-Жанейрской декларации по окружающей среде и развитию 1992 года.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уменьшения дублирования при представлении отчетности системы регистров выбросов и переноса загрязнителей могут быть, насколько это практически возможно, интегрированы с существующими источниками информации, такими, как механизмы представления отчетности, предусматриваемые лицензиями или разрешениями на эксплуатацию.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стремятся к обеспечению сближения национальных регистров выбросов и переноса загрязнителей. 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Основные элементы системы регистра выбросов и переноса загрязнителей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Протоколом каждая Сторона составляет и ведет доступный для общественности национальный регистр выбросов и переноса загрязнителей, который: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ведется в разбивке по конкретным объектам в отношении отчетности по точечным источникам;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включает в себя данные по диффузным источникам;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в соответствующих случаях ведется в разбивке по конкретным загрязнителям или по конкретным отходам;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охватывает различные компоненты окружающей среды, проводя различие между выбросами в воздух, землю и воду;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включает информацию о переносах;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основывается на обязательной отчетности, представляемой на периодической основе;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g) включает стандартизованные и своевременно представленные данные, ограниченное число стандартизованных пороговых значений для представления отчетности и, при наличии, ограниченное число положений о конфиденциальности;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h) является логически последовательным и по своему построению должен быть удобным для пользователей, а также доступным для общественности, в том числе в электронной форме;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предусматривает участие общественности в его создании и модификации; и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j) представляет собой структурированную и компьютеризованную базу данных или ряд связанных баз данных, ведущихся компетентным органом. 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Построение и структура 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обеспечивает, чтобы данные, содержащиеся в регистре, упомянутом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были представлены в агрегированном и неагрегированном виде, с тем чтобы можно было вести поиск выбросов и переносов и идентифицировать их по: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объекту и его географическому местоположению;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виду деятельности;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владельцу или оператору и в соответствующих случаях компании;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в соответствующих случаях загрязнителю или отходам;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каждому компоненту окружающей среды, в которую выбрасывается загрязнитель;и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как указывается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конечному пункту переноса и в соответствующих случаях операции по удалению и рекуперации отходов. 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также обеспечивает возможность поиска и идентификации данных на основании тех диффузных источников, которые включены в регистр.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строит свой регистр, учитывая возможность его будущего расширения и обеспечивая, чтобы содержащиеся в нем данные отчетности за, по меньшей мере, десять предыдущих отчетных лет были доступны для общественности.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 строится таким образом, чтобы в максимальной степени облегчать доступ общественности через электронные средства связи, такие, как Интернет. Построение регистра обеспечивает возможности для того, чтобы содержащаяся в нем информация в обычных условиях его использования была постоянно и незамедлительно доступна через электронные средства связи.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Каждой Стороне следует предусмотреть в своем регистре ссылки на соответствующие имеющиеся и доступные для общественности базы данных по темам, относящимся к охране окружающей среды.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Сторона предусматривает в своем регистре ссылки на регистры выбросов и переноса загрязнителей других Сторон Протокола и, когда это возможно, на регистры выбросов и переноса загрязнителей других стран. 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 xml:space="preserve">Сфера охвата регистра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обеспечивает, чтобы ее регистр включал информацию о: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выбросах загрязнителей, по которым требуется представлять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переносах за пределы участка, по которым требуется представлять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7; и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выбросах загрязнителей из диффузных источников, по которым требуется представлять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Проведя оценку опыта, накопленного в ходе создания и совершенствования национальных регистров выбросов и переноса загрязнителей и осуществления настоящего Протокола, и принимая во внимание соответствующие международные процессы, Совещание Сторон проводит обзор требований в отношении представления отчетности в соответствии с настоящим Протоколом и рассматривает следующие вопросы его дальнейшего совершенствования: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пересмотр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пересмотр загрязнителей,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II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пересмотр пороговых уровней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I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; и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включение других соответствующих аспектов, таких, как информация о переносах в пределах участков, хранении, определении требований в отношении представления отчетности о диффузных источниках или разработке критериев для включения загрязнителей в соответствии с настоящим Протоколом. 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Требования в отношении представления отчетности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либо: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требует от владельца или оператора каждого отдельного объекта, находящегося под ее юрисдикцией, который осуществляет один или более видов деятельности,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, сверх применимых пороговых значений для деятельности, указанных в колонке 1 </w:t>
      </w:r>
      <w:r>
        <w:rPr>
          <w:rFonts w:ascii="Times New Roman"/>
          <w:b w:val="false"/>
          <w:i w:val="false"/>
          <w:color w:val="000000"/>
          <w:sz w:val="28"/>
        </w:rPr>
        <w:t>приложения I</w:t>
      </w:r>
      <w:r>
        <w:rPr>
          <w:rFonts w:ascii="Times New Roman"/>
          <w:b w:val="false"/>
          <w:i w:val="false"/>
          <w:color w:val="000000"/>
          <w:sz w:val="28"/>
        </w:rPr>
        <w:t xml:space="preserve">, и: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осуществляет выбросы любых загрязнителей,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II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количествах, превышающих применимые пороговые значения, указанные в колонке 1 </w:t>
      </w:r>
      <w:r>
        <w:rPr>
          <w:rFonts w:ascii="Times New Roman"/>
          <w:b w:val="false"/>
          <w:i w:val="false"/>
          <w:color w:val="000000"/>
          <w:sz w:val="28"/>
        </w:rPr>
        <w:t>приложения II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осуществляет перенос за пределы участка любого загрязнителя, указанного в приложении II, в количествах, превышающих применимые пороговые значения, указанные в колонке 2 </w:t>
      </w:r>
      <w:r>
        <w:rPr>
          <w:rFonts w:ascii="Times New Roman"/>
          <w:b w:val="false"/>
          <w:i w:val="false"/>
          <w:color w:val="000000"/>
          <w:sz w:val="28"/>
        </w:rPr>
        <w:t>приложения II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тех случаях, когда Сторона избрала вариант представления отчетности в отношении переноса конкретных загрязнителей согласно пункту 5(d);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iii) осуществляет перенос за пределы участка опасных отходов, превышающий две тонны в год, или других отходов, превышающий 2 000 т в год, в тех случаях, когда Сторона избрала вариант представления отчетности в отношении переноса конкретных отходов согласно пункту 5(d); или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iv) осуществляет перенос за пределы участка любого загрязнителя,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II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сточных водах, предназначенных для очистки, в количествах, превышающих применимые пороговые значения, указанные в колонке 1b </w:t>
      </w:r>
      <w:r>
        <w:rPr>
          <w:rFonts w:ascii="Times New Roman"/>
          <w:b w:val="false"/>
          <w:i w:val="false"/>
          <w:color w:val="000000"/>
          <w:sz w:val="28"/>
        </w:rPr>
        <w:t>приложения II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брать на себя обязательство, возлагаемое на такого владельца или оператора согласно пункту 2; либо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требует от владельца или оператора каждого отдельного объекта, находящегося под ее юрисдикцией, который осуществляет один или более видов деятельности,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уровне или сверх пороговых значений для численности работников, указанных в колонке 2 </w:t>
      </w:r>
      <w:r>
        <w:rPr>
          <w:rFonts w:ascii="Times New Roman"/>
          <w:b w:val="false"/>
          <w:i w:val="false"/>
          <w:color w:val="000000"/>
          <w:sz w:val="28"/>
        </w:rPr>
        <w:t>приложения I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производит, обрабатывает или использует любой загрязнитель,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II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количествах, превышающих применимые пороговые значения, указанные в колонке 3 приложения II, брать на себя обязательство, возлагаемое на такого владельца или оператора согласно пункту 2.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требует от владельца или оператора объекта, упомянутого в пункте 1, представлять информацию, указанную в пунктах 5 и 6, и в соответствии с предусмотренными в них требованиями в отношении тех загрязнителей и отходов, по которым были превышены пороговые значения.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достижения цели настоящего Протокола Сторона может принять решение в отношении конкретного загрязнителя применять либо пороговое значение, касающееся выброса, или пороговое значение для производства, обработки или использования, при условии что это увеличивает соответствующую информацию о выбросах или переносах, имеющуюся в ее регистре.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обеспечивает, чтобы ее компетентный орган вел сбор информации или назначил один или несколько государственных органов или компетентных ведомств для сбора информации о выбросах загрязнителей из диффузных источников, перечисленных в пунктах 7 и 8, для включения в ее регистр.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Каждая Сторона требует от владельцев или операторов объектов, по которым требуется представлять отчетность в соответствии с пунктом 2, подготавливать и направлять ее компетентному органу следующую информацию по конкретным объектам: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наименование, почтовый адрес, географическое местоположение и вид или виды деятельности объекта, представляющего отчетность, а также имя и фамилию владельца или оператора и, в соответствующих случаях, название компании;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наименование и идентификационный номер каждого загрязнителя, по которому требуется представлять отчетность согласно пункту 2;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количество каждого загрязнителя, по которому требуется представлять отчетность согласно пункту 2, выброшенного с объекта в окружающую среду за отчетный год как в совокупности, так и в разбивке по выбросам в воздух, воду или землю, включая подземную закачку;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либо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количество каждого загрязнителя, по которому требуется представлять отчетность в соответствии с пунктом 2, перенесенное за пределы участка за отчетный год, с разграничением между количествами, перенесенными для целей удаления и рекуперации, а также наименование и адрес объекта, на который поступает перенос; либо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количество отходов, по которым требуется представлять отчетность согласно пункту 2, перенесенное за пределы участка за отчетный год, с разграничением между опасными отходами и иным отходами, для любых операций по рекуперации или удалению с указанием соответственно пометки "Р" или "У", если отходы предназначены для рекуперации или удаления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III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при трансграничном перемещении опасных отходов, наименование и адрес предприятия, осуществляющего рекуперацию или удаление отходов, и фактического участка рекуперации или удаления, на который поступает перенос;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количество каждого загрязнителя в сточных водах, по которому требуется представлять отчетность согласно пункту 2, перенесенное за пределы участка в течение отчетного года; и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тип методологии, использовавшейся для получения информации, упомянутой в подпунктах (с)–(е),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 указанием того, основана ли информация на измерениях, расчетах или оценках.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Информация, упомянутая в подпунктах (с)-(е) пункта 5, включает в себя информацию об общих выбросах и переносах в результате плановой деятельности или внештатных ситуаций.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Сторона представляет в своем регистре в надлежащей пространственной разбивке информацию о выбросах загрязнителей из диффузных источников, в отношении которых эта Сторона определяет, что данные собираются соответствующими органами и имеется практическая возможность их включения. В тех случаях, когда Сторона определяет, что такие данные не существуют, она принимает меры для инициации представления отчетности о выбросах соответствующих загрязнителей из одного или большего числа диффузных источников в соответствии с ее национальными приоритетами.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Информация, упомянутая в пункте 7, включает информацию о типе методологии, использованной для получения информации. 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Периодичность отчетности  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обеспечивает, чтобы информация, которую требуется включать в ее регистр, была доступной для общественности и чтобы она подбиралась и была в регистре в разбивке по календарным годам. Отчетным годом является календарный год, к которому относится такая информация. Для каждой Стороны первым отчетным годом является календарный год после вступления Протокола в силу для этой Стороны. Отчетность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представляется ежегодно. Однако вторым отчетным годом может быть второй календарный год после первого отчетного года.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Сторона, которая не является региональной организацией экономической интеграции, обеспечивает включение в свой регистр информации в течение пятнадцати месяцев после окончания каждого отчетного года. Однако информация за первый отчетный год включается в ее регистр в течение двух лет после окончания этого отчетного года.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Сторона, которая является региональной организацией экономической интеграции, обеспечивает включение в свой регистр информации за конкретный отчетный год через шесть месяцев после срока, в который должны сделать это Стороны, не являющиеся региональными организациями экономической интеграции. 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 </w:t>
      </w:r>
      <w:r>
        <w:br/>
      </w:r>
      <w:r>
        <w:rPr>
          <w:rFonts w:ascii="Times New Roman"/>
          <w:b/>
          <w:i w:val="false"/>
          <w:color w:val="000000"/>
        </w:rPr>
        <w:t xml:space="preserve">Сбор данных и хранение документации 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требует от владельцев или операторов объектов, подпадающих под действие требований о представлении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осуществлять сбор данных, необходимых для определения, в соответствии с пунктом 2 ниже и с надлежащей периодичностью, имевших место на объекте выбросов и переносов за пределы участка, по которым представляется отчетность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хранить доступную для компетентных органов документацию о данных, с помощью которых была получена отчетная информация, в течение пяти лет, начиная с конца соответствующего отчетного года. Эта документация включает также в себя описание использовавшейся методологии сбора данных.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требует от владельцев или операторов объектов, подпадающих под действие требований о представлении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использовать наилучшую имеющуюся информацию, которая может включать в себя данные мониторинга, коэффициенты пересчета выбросов, уравнения баланса массы, данные косвенного мониторинга или иные расчеты, технические оценки и прочие методы. В надлежащих случаях это следует делать в соответствии с международно признанными методологиями. 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Оценка качества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требует, чтобы владельцы или операторы объектов, подпадающих под действие требований о представлении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обеспечивали качество представляемой ими информации.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обеспечивает, чтобы компетентный орган проводил оценку качества данных, содержащихся в ее регистре, в частности, на предмет их полноты, согласованности и достоверности, с учетом любых руководящих принципов, которые могут быть разработаны Совещанием Сторон. 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 xml:space="preserve">Доступ общественности к информации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обеспечивает доступ общественности к информации, содержащейся в ее регистре выбросов и переноса загрязнителей без необходимости формулировать свою заинтересованность и в соответствии с положениями настоящего Протокола главным образом путем обеспечения того, чтобы ее регистр предусматривал прямой электронный доступ через публичные сети связи.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тех случаях, когда общественность не имеет беспрепятственного доступа к информации, содержащейся в регистре соответствующей Стороны, с помощью прямых электронных средств, каждая Сторона обеспечивает, чтобы ее компетентный орган представлял по запросу такую информацию с помощью любых других эффективных средств как можно скорее, но не позднее, чем через один месяц после получения соответствующего запроса.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условии соблюдения положений пункта 4 каждая Сторона обеспечивает, чтобы доступ к информации, содержащейся в ее регистре, предоставлялся бесплатно.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может разрешить своему компетентному органу взимать плату за воспроизведение и пересылку по почте конкретной информации, упомянутой в пункте 2, но эта плата не должна превышать разумного уровня.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тех случаях, когда общественность не имеет беспрепятственного доступа к информации, содержащейся в регистре соответствующей Стороны, каждая Сторона облегчает электронный доступ к своему регистру в доступных для общественности местах, например в публичных библиотеках, учреждениях местных органов власти и других соответствующих местах. 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Конфиденциальность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может разрешить компетентному органу сохранять конфиденциальность информации, содержащейся в регистре, если публичное раскрытие такой информации будет иметь неблагоприятные последствия для: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международных отношений, национальной обороны или государственной безопасности;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отправления правосудия, возможности любого лица иметь доступ к справедливому судебному разбирательству или возможности государственного органа проводить расследование уголовного или дисциплинарного характера;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конфиденциальности коммерческой и промышленной информации в тех случаях, когда такая конфиденциальность охраняется законом в целях защиты законных экономических интересов;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прав интеллектуальной собственности; или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конфиденциальности личных данных и/или досье, касающихся физического лица, если это лицо не дало согласия на раскрытие такой информации общественности в тех случаях, когда такая конфиденциальность предусмотрена в национальном законодательстве.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Вышеупомянутые основания для сохранения конфиденциальности толкуются ограничительно с учетом того, отвечает ли раскрытие информации общественным интересам, а также с учетом того, относится ли запрошенная информация к выбросам в окружающую среду.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подпункта 1(с) любая информация о выбросах, которая имеет отношение к охране окружающей среды, подлежит рассмотрению на предмет ее раскрытия в соответствии с национальным законодательством.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тех случаях, когда сохраняется конфиденциальный статус информации в соответствии с пунктом 1, в регистре указывается тип изъятой информации посредством, например, предоставления, по возможности, общей информации о химических свойствах и причины такого изъятия. 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Участие общественности в создании и совершенствовании национальных регистров выбросов и переноса загрязнителей 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обеспечивает соответствующие возможности для участия общественности в создании и совершенствовании ее национального регистра выбросов и переноса загрязнителей в рамках ее национального законодательства.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цели пункта 1 каждая Сторона предоставляет общественности возможность бесплатного доступа к информации о предлагаемых мерах, касающихся создания и совершенствования ее национального регистра выбросов и переноса загрязнителей, а также возможность для представления любых замечаний, информации, аналитических материалов или мнений, которые имеют отношение к процессу принятия решений, и соответствующий орган надлежащим образом учитывает такой вклад общественности.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обеспечивает, чтобы при принятии решения о создании или существенном изменении ее регистра общественности своевременно предоставлялась информация об этом решении и сообщались соображения, на которых оно основывается. </w:t>
      </w:r>
    </w:p>
    <w:bookmarkEnd w:id="143"/>
    <w:bookmarkStart w:name="z14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 xml:space="preserve">Доступ к правосудию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в рамках своего национального законодательства обеспечивает, чтобы любое лицо, считающее, что его просьба о доступе к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не принята во внимание или неправомерно отклонена, будь то частично или полностью, что на нее не дано адекватного ответа или что она иным образом не рассмотрена в соответствии с положениями данного пункта, имело доступ к процедуре пересмотра в суде или ином независимом и беспристрастном органе, учрежденном в соответствии с законом.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предусмотренные в пункте 1, применяются без ущерба для прав и обязательств Сторон по действующим применимым между ними договорам, касающимся предмета настоящей статьи. </w:t>
      </w:r>
    </w:p>
    <w:bookmarkEnd w:id="146"/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 xml:space="preserve">Наращивание потенциала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содействует информированию общественности о ее регистре выбросов и переноса загрязнителей и обеспечивает предоставление общественности помощи и рекомендаций в области доступа к ее регистру и понимания и использования содержащейся в нем информации. 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Каждой Стороне следует обеспечивать надлежащее наращивание потенциала ответственных органов и учреждений и предоставление им рекомендаций с целью оказания им помощи в выполнении ими своих обязанностей в соответствии с настоящим Протоколом. 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Международное сотрудничество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соответствующим образом осуществляют сотрудничество и оказывают друг другу содействие: 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в рамках международных действий в поддержку целей настоящего Протокола;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на основе взаимной договоренности между соответствующими Сторонами при внедрении национальных систем во исполнение настоящего Протокола;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при совместном использовании информации в соответствии с настоящим Протоколом в отношении выбросов и переносов в пограничных районах; и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при совместном использовании информации в соответствии с настоящим Протоколом вотношении переносов между Сторонами. 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поощряют сотрудничество между ними и, в надлежащих случаях, с соответствующими международными организациями с целью содействия: 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информированию общественности на международном уровне;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передаче технологий; и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оказанию технической помощи Сторонам, являющимся развивающимися странами, и Сторонам, являющимся странами с переходной экономикой, в вопросах, относящихся к настоящему Протоколу. </w:t>
      </w:r>
    </w:p>
    <w:bookmarkEnd w:id="159"/>
    <w:bookmarkStart w:name="z1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Совещание Сторон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учреждается Совещание Сторон. Его первая сессия созывается не позднее чем через два года после вступления в силу настоящего Протокола. Впоследствии очередные сессии Совещания Сторон проводятся последовательно или параллельно с очередными совещаниями Сторон Конвенции, если Стороны настоящего Протокола не примут иного решения. Совещание Сторон проводит внеочередную сессию, если оно принимает соответствующее решение в ходе очередной сессии или же по письменной просьбе любой из Сторон при условии, что в течение шести месяцев после препровождения этой просьбы Исполнительным секретарем Европейской экономической комиссии всем Сторонам указанная просьба будет поддержана по меньшей мере одной третью этих Сторон.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Совещание Сторон постоянно следит за ходом осуществления и совершенствования настоящего Протокола на основе отчетности, регулярно представляемой Сторонами, и с учетом этой цели: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осуществляет обзор создания и совершенствования регистров выбросов и переноса загрязнителей и способствует их последовательному укреплению и сближению; 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определяет руководящие принципы, облегчающие представление ему отчетности Сторонами, учитывая необходимость избегать дублирования усилий в этом отношении; 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определяет программу работы; 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рассматривает и, при необходимости, принимает меры по укреплению международного сотрудничества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учреждает такие вспомогательные органы, которые оно сочтет необходимым; 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рассматривает и утверждает предложения, касающиеся таких поправок к настоящему Протоколу и приложений к нему, которые сочтены необходимыми для выполнения целей настоящего Протокола,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g) на своей первой сессии рассматривает и принимает на основе консенсуса правила процедуры для своих сессий и сессий своих вспомогательных органов с учетом любых правил процедуры, принятых Совещанием Сторон Конвенции; 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h) рассматривает возможность учреждения финансовых процедур на основе консенсуса и механизмов технической помощи в целях содействия осуществлению настоящего Протокола; 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прибегает, при необходимости, к услугам других соответствующих международных органов в порядке предоставления услуг достижения целей настоящего Протокола; и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j) рассматривает и принимает любые дополнительные меры, которые могут потребоваться для содействия достижению целей настоящего Протокола, в частности такие, как принятие руководящих принципов и рекомендаций, способствующих его осуществлению. 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Совещание Сторон содействует обмену информацией об опыте, приобретенном в ходе представления отчетности о переносе с использованием подходов, ориентированных на конкретные загрязнители и конкретные отходы, и рассматривает такой опыт в целях изучения возможности сближения этих двух подходов, принимая во внимание заинтересованность общественности в информации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общую эффективность национальных регистров выбросов и переноса загрязнителей. 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Объединенных Наций, ее специализированные учреждения и Международное агентство по атомной энергии, а также любое государство или региональная организация экономической интеграции, которые имеют право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подписать настоящий Протокол, но не являются его Стороной, и любая межправительственная организация, обладающая компетенцией в областях, с которыми связан Протокол, имеют право участвовать в сессиях Совещания Сторон в качестве наблюдателей. Вопросы их допуска и участия регулируются правилами роцедуры, принятыми Совещанием Сторон. 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Любая неправительственная организация, обладающая компетенцией в областях, с которыми связан настоящий Протокол, и проинформировавшая Исполнительного секретаря Европейской экономической комиссии о своем желании быть представленной на сессии Совещания Сторон, имеет право на такое участие в качестве наблюдателя, за исключением тех случаев, когда против этого возражает одна треть Сторон, присутствующих на сессии. Вопросы их допуска и участия регулируются правилами процедуры, принятыми Совещанием Сторон. </w:t>
      </w:r>
    </w:p>
    <w:bookmarkEnd w:id="175"/>
    <w:bookmarkStart w:name="z18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 голоса 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исключением случаев, предусмотренных в пункте 2, каждая Сторона настоящего Протокола имеет один голос. 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Региональные организации экономической интеграции осуществляют свое право голоса по вопросам, входящим в их компетенцию, располагая числом голосов, равным числу их государств-членов, являющихся Сторонами. Такие организации не осуществляют своего права голоса, если их государства-члены осуществляют свое право голоса и наоборот. </w:t>
      </w:r>
    </w:p>
    <w:bookmarkEnd w:id="178"/>
    <w:bookmarkStart w:name="z18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Приложения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настоящему Протоколу составляют его неотъемлемую часть и, если явным образом не указывается иного, ссылка на настоящий Протокол одновременно является ссылкой на любые приложения к нему. </w:t>
      </w:r>
    </w:p>
    <w:bookmarkEnd w:id="180"/>
    <w:bookmarkStart w:name="z1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Любая Сторона может предлагать поправки к настоящему Протоколу. 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 внесении поправок в настоящий Протокол рассматриваются на сессии Совещания Сторон. 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предлагаемая поправка к настоящему Протоколу представляется в письменной форме в секретариат, который направляет ее по меньшей мере за шесть месяцев до начала сессии, на которой она предлагается для принятия, всем Сторонам, другим государствам и региональным организациям экономической интеграции, которые согласились быть связанными положениями Протокола и для которых он еще не вступил в силу, а также Подписавшим Сторонам. 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прилагают все усилия для достижения согласия по любой предлагаемой поправке к настоящему Протоколу на основе консенсуса. Если все усилия для достижения консенсуса исчерпаны, а согласие не достигнуто, то в крайнем случае поправка принимается большинством в три четверти голосов Сторон, присутствующих на сессии и участвующих в голосовании.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настоящей статьи "Стороны, присутствующие и участвующие в голосовании" означают Стороны, присутствующие на заседании и голосующие за или против. 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Любая поправка к настоящему Протоколу, принятая в соответствии с пунктом 4, направляется секретариатом Депозитарию, который распространяет ее среди всех Сторон, других государств и региональных организаций экономической интеграции, которые согласились быть связанными положениями Протокола и для которых он еще не вступил в силу, а также среди Подписавших Сторон. 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Поправка, если таковая не относится к приложению, вступает в силу для тех Сторон, которые ратифицировали, приняли или утвердили ее, на девяностый день после получения Депозитарием документов о ратификации, принятии или утверждении не менее чем тремя четвертями Сторон, являвшихся Сторонами на момент ее принятия. Впоследствии она вступает в силу для любой другой Стороны на девяностый день после сдачи на хранение этой Стороной ее документа о ратификации, принятии или утверждении этой поправки. 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поправки к приложению Сторона, которая не принимает такую поправку, уведомляет об этом Депозитария в письменной форме в течение 12 месяцев с даты ее распространения Депозитарием. Депозитарий незамедлительно извещает все Стороны о получении любого такого уведомления. Сторона может в любое время отозвать уведомление о непринятии, после чего эта поправка к приложению вступает в силу для этой Стороны. 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истечении 12 месяцев с даты ее распространения Депозитарием, как это предусмотрено в пункте 6, поправка к приложению вступает в силу для тех Сторон, которые не направили уведомления Депозитарию в соответствии с пунктом 8, при условии, что к этому времени такое уведомление представили не более трети Сторон, являвшихся Сторонами на момент принятия поправки. 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поправка к приложению непосредственно связана с поправкой к настоящему Протоколу, то она не вступает в силу до тех пор, пока не вступит в силу поправка к настоящему Протоколу. </w:t>
      </w:r>
    </w:p>
    <w:bookmarkEnd w:id="191"/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Секретариат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секретарь Европейской экономической комиссии выполняет следующие секретариатские функции в связи с настоящим Протоколом: 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подготавливает и обслуживает сессии Совещания Сторон; 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препровождает Сторонам доклады и другую информацию, полученную в соответствии с положениями настоящего Протокола; 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отчитывается перед Совещанием Сторон о работе секретариата; и 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осуществляет такие иные функции, которые могут быть определены Совещанием Сторон на основе имеющихся ресурсов. </w:t>
      </w:r>
    </w:p>
    <w:bookmarkEnd w:id="197"/>
    <w:bookmarkStart w:name="z20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Рассмотрение соблюдения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своей первой сессии Совещание Сторон устанавливает на основе консенсуса процедуры сотрудничества и институциональные механизмы несудебного, несостязательного и консультативного характера для оценки и поощрения соблюдения положений настоящего Протокола и для рассмотрения случаев несоблюдения. При установлении этих процедур и механизмов Совещание Сторон, в частности, рассматривает вопрос о том, целесообразно ли предусмотреть получение информации от представителей общественности по вопросам, относящимся к настоящему Протоколу. </w:t>
      </w:r>
    </w:p>
    <w:bookmarkEnd w:id="199"/>
    <w:bookmarkStart w:name="z20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возникновении спора между двумя или более Сторонами относительно толкования или применения настоящего Протокола они стремятся к его разрешению путем переговоров или с помощью любых других мирных средств урегулирования споров, приемлемых для участвующих в споре сторон. 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подписании, ратификации, принятии и утверждении настоящего Протокола или присоединении к нему или в любой момент после этого государство может направить Депозитарию письменное заявление о том, что в отношении спора, который не был разрешен в соответствии с пунктом 1, оно принимает одно или оба из следующих средств урегулирования споров в качестве обязательных в отношении любой Стороны, принимающей на себя такое же обязательство: 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передача спора в Международный Суд; 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арбитраж в соответствии с процедурой, изложенной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IV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организация экономической интеграции может сделать заявление с аналогичными последствиями в отношении арбитража в соответствии с процедурами, упомянутыми в подпункте (b). 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стороны спора приняли оба средства урегулирования спора, упомянутые в пункте 2, то спор может быть передан только в Международный Суд, если стороны спора не договорятся об ином. </w:t>
      </w:r>
    </w:p>
    <w:bookmarkEnd w:id="206"/>
    <w:bookmarkStart w:name="z21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  <w:r>
        <w:br/>
      </w:r>
      <w:r>
        <w:rPr>
          <w:rFonts w:ascii="Times New Roman"/>
          <w:b/>
          <w:i w:val="false"/>
          <w:color w:val="000000"/>
        </w:rPr>
        <w:t xml:space="preserve">Подписание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открыт для подписания в Киеве (Украина) с 21 по 23 мая 2003 года по случаю проведения пятой Конференции министров "Окружающая среда для Европы", а затем в Центральных учреждениях Организации Объединенных Наций в Нью-Йорке до 31 декабря 2003 года всеми государствами, являющимися членами Организации Объединенных Наций, и региональными организациями экономической интеграции, созданными суверенными государствами — членами Организации Объединенных Наций, которым их государства-члены передали полномочия по вопросам, регулируемым настоящим Протоколом, включая правомочия заключать договоры, касающиеся данных вопросов. </w:t>
      </w:r>
    </w:p>
    <w:bookmarkEnd w:id="208"/>
    <w:bookmarkStart w:name="z21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  <w:r>
        <w:br/>
      </w:r>
      <w:r>
        <w:rPr>
          <w:rFonts w:ascii="Times New Roman"/>
          <w:b/>
          <w:i w:val="false"/>
          <w:color w:val="000000"/>
        </w:rPr>
        <w:t>Депозитарий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Депозитария настоящего Протокола выступает Генеральный секретарь Организации Объединенных Наций. </w:t>
      </w:r>
    </w:p>
    <w:bookmarkEnd w:id="210"/>
    <w:bookmarkStart w:name="z21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  <w:r>
        <w:br/>
      </w:r>
      <w:r>
        <w:rPr>
          <w:rFonts w:ascii="Times New Roman"/>
          <w:b/>
          <w:i w:val="false"/>
          <w:color w:val="000000"/>
        </w:rPr>
        <w:t xml:space="preserve">Ратификация, принятие, утверждение и присоединение 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подлежит ратификации, принятию или утверждению подписавшими его государствами и региональными организациями экономической интеграции, упомянутыми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открыт для присоединения для государств и региональных организаций экономической интеграции,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, с 1 января 2004 года. 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упомянутая в статье 24 региональная организация экономической интеграции, которая становится Стороной настоящего Протокола, притом, что ни одно из ее государств-членов не является Стороной, связана всеми обязательствами в соответствии с настоящим Протоколом. Если одно или несколько государств-членов такой организации являются Сторонами, данная организация и ее государства-члены принимают решение о своей соответствующей ответственности за выполнение своих обязательств по настоящему Протоколу. В таких случаях данная организация и государства-члены не могут одновременно пользоваться правами, предусмотренными в настоящем Протоколе. 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своих документах о ратификации, принятии, утверждении или присоединении региональные организации экономической интеграции,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заявляют о пределах своих полномочий в отношении вопросов, регулируемых настоящим Протоколом. Эти организации также информируют Депозитария о любом существенном изменении пределов своих полномочий. </w:t>
      </w:r>
    </w:p>
    <w:bookmarkEnd w:id="215"/>
    <w:bookmarkStart w:name="z22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</w:t>
      </w:r>
      <w:r>
        <w:br/>
      </w:r>
      <w:r>
        <w:rPr>
          <w:rFonts w:ascii="Times New Roman"/>
          <w:b/>
          <w:i w:val="false"/>
          <w:color w:val="000000"/>
        </w:rPr>
        <w:t xml:space="preserve">Вступление в силу 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вступает в силу на девяностый день с даты сдачи на хранение шестнадцатого документа о ратификации, принятии, утверждении или присоединении. 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пункта 1 любой документ, сданный на хранение какой-либо региональной организацией экономической интеграции, не рассматривается в качестве дополнительного к документам, сданным на хранение государствами — членами такой организации. 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государства или каждой региональной организации экономической интеграции, которые ратифицируют, принимают или утверждают настоящий Протокол или присоединяются к нему после сдачи на хранение шестнадцатого документа о ратификации, принятии, утверждении или присоединении, Протокол вступает в силу на девяностый день с даты сдачи на хранение таким государством или такой организацией своего документа о ратификации, принятии, утверждении или присоединении. </w:t>
      </w:r>
    </w:p>
    <w:bookmarkEnd w:id="219"/>
    <w:bookmarkStart w:name="z22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  <w:r>
        <w:br/>
      </w:r>
      <w:r>
        <w:rPr>
          <w:rFonts w:ascii="Times New Roman"/>
          <w:b/>
          <w:i w:val="false"/>
          <w:color w:val="000000"/>
        </w:rPr>
        <w:t xml:space="preserve">Оговорки 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оговорки к настоящему Протоколу не допускаются. </w:t>
      </w:r>
    </w:p>
    <w:bookmarkEnd w:id="221"/>
    <w:bookmarkStart w:name="z22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  <w:r>
        <w:br/>
      </w:r>
      <w:r>
        <w:rPr>
          <w:rFonts w:ascii="Times New Roman"/>
          <w:b/>
          <w:i w:val="false"/>
          <w:color w:val="000000"/>
        </w:rPr>
        <w:t xml:space="preserve">Выход 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любое время по истечении трех лет со дня вступления в силу настоящего Протокола в отношении какой-либо Стороны эта Сторона может выйти из Протокола путем направления письменного уведомления Депозитарию. Любой такой выход приобретает силу на девяностый день с даты получения уведомления о нем Депозитарием. </w:t>
      </w:r>
    </w:p>
    <w:bookmarkEnd w:id="223"/>
    <w:bookmarkStart w:name="z22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  <w:r>
        <w:br/>
      </w:r>
      <w:r>
        <w:rPr>
          <w:rFonts w:ascii="Times New Roman"/>
          <w:b/>
          <w:i w:val="false"/>
          <w:color w:val="000000"/>
        </w:rPr>
        <w:t xml:space="preserve">Аутентичные тексты 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 настоящего Протокола, английский, русский и французский тексты которого являются равно аутентичными, сдается на хранение Генеральному секретарю Организации Объединенных Наций. 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на то уполномоченные, подписали настоящий Протокол. 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Киеве двадцать первого мая две тысячи третьего года. </w:t>
      </w:r>
    </w:p>
    <w:bookmarkEnd w:id="227"/>
    <w:bookmarkStart w:name="z23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</w:t>
      </w:r>
    </w:p>
    <w:bookmarkEnd w:id="228"/>
    <w:bookmarkStart w:name="z23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028"/>
        <w:gridCol w:w="5271"/>
        <w:gridCol w:w="135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Пороговое значение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(колонка 1)</w:t>
            </w:r>
          </w:p>
          <w:bookmarkEnd w:id="23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численность работников (колонка 2)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Нефтеперерабатывающие и газоперерабатывающие заводы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газификации и сжижения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электростанции и другие установки для сжигания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подводимой тепловой мощностью 50 мегаватт (МВт)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Коксовые печи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Углеразмольные мельницы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мощностью 1 т в час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производства углехимических продуктов и твердого бездымного топлива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и обработка металлов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обжига или агломерации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руд (включая сульфидную руду)</w:t>
            </w:r>
          </w:p>
          <w:bookmarkEnd w:id="231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работников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передельного чугуна или стали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(первичная или вторичная плавка),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непрерывную разливку </w:t>
            </w:r>
          </w:p>
          <w:bookmarkEnd w:id="232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т в час 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обработки черных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металлов: </w:t>
            </w:r>
          </w:p>
          <w:bookmarkEnd w:id="234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i) станы горячей прокатки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20 тсырой стали в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ii) кузнечные молоты </w:t>
            </w:r>
          </w:p>
          <w:bookmarkEnd w:id="235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которых составляет 50 килоджоулей на молот,а потребляемаятепловая мощность превышает 20МВт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iii) нанесение защитных распыленных металлических покрытий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подачей сырой стали 2 т в час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для литья черных металлов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производственной мощностью 20 т в день </w:t>
            </w:r>
          </w:p>
          <w:bookmarkEnd w:id="23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для: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i) производства черновых цветных металлов из руды, концентратов или вторичных сырьевых материалов посредством металлургических, химических или электролитических процессов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ii) выплавки, включая легирование, цветных металлов, в том числе рекуперированных продуктов (рафинирование, литейное производство и т.д.)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4 т в день для свинца и кадмия или 20 т в день для всех других 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поверхностной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емкостьобработки металлов и пластических материалов с использованием электролитических илихимических процессов используемых для обработки чанов составляет 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по переработке минерального сырья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Подземные горные работы и связанные с ними операции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добыча полезных ископаемых </w:t>
            </w:r>
          </w:p>
          <w:bookmarkEnd w:id="237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площадью поверхности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разрабатываемого участка 25 гектаров</w:t>
            </w:r>
          </w:p>
          <w:bookmarkEnd w:id="2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производства: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i) цементного клинкера во вращающихся обжиговых печах </w:t>
            </w:r>
          </w:p>
          <w:bookmarkEnd w:id="239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500 т в день</w:t>
            </w:r>
          </w:p>
          <w:bookmarkEnd w:id="2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ii) извести во вращающихся обжиговых печах</w:t>
            </w:r>
          </w:p>
          <w:bookmarkEnd w:id="241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мощностью, превышающей 50 т в день</w:t>
            </w:r>
          </w:p>
          <w:bookmarkEnd w:id="2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iii) цементного клинкера или извести в других печах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 т в день</w:t>
            </w:r>
          </w:p>
          <w:bookmarkEnd w:id="2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производства асбеста и изготовления асбестосодержащих продуктов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работников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производства стекла, включая стекловолокно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плавильной мощностью 20 т в день 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плавления минеральных веществ, включая производство минеральных волокон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20 т в день</w:t>
            </w:r>
          </w:p>
          <w:bookmarkEnd w:id="2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производства керамических продуктов путем обжига, в частности кровельной черепицы, кирпича, огнеупорного кирпича, керамической плитки, каменной керамики или фарфоровых изделий</w:t>
            </w:r>
          </w:p>
          <w:bookmarkEnd w:id="246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75 т в день,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 объемом обжиговых печей 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плотностью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садки на обжиговую печь 300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Химическая промышленность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установки для производства в промышленном масштабе основных органических химических веществ, таких, как:</w:t>
            </w:r>
          </w:p>
        </w:tc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i) простые углеводороды (линейные или циклические, насыщенные или ненасыщенные, алифатические или ароматические);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ii) кислородсодержащие углеводороды, такие, как спирты, альдегиды, кетоны, карбоновые кислоты, сложные эфиры, ацетаты, простые эфиры, перекиси, эпоксидные смолы;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iii) сернистые углеводороды;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iv) азотные углеводороды, такие, как амины, амиды, соединения азота, нитросоединения или нитратные соединения, нитрилы, цианаты, изоцианаты;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v) фосфорсодержащие углеводороды;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vi) галогенизированные углеводороды; </w:t>
            </w:r>
          </w:p>
        </w:tc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vii) органометаллические соединения;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viii) основные пластические материалы (полимеры, синтетические волокна и волокна на базе целлюлозы);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ix) синтетический каучук;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x) краски и пигменты;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xi) поверхностно-активные вещества;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установки для производства в промышленном масштабе основных неорганических химических веществ, таких, как:</w:t>
            </w:r>
          </w:p>
        </w:tc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i) газы, такие, как аммиак, хлор или хлористый водород, фтор или фтористый водород, оксиды углерода, соединения серы, оксиды азота, водород, диоксид серы, хлорокись углерода;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ii) кислоты, такие, как хромовая кислота, фтористоводородная кислота, фосфорная кислота, азотная кислота, хлористоводородная кислота, серная кислота, олеум, сернистая кислота;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iii) щелочи, такие, как гидроокись аммония, гидроокись калия, гидроокись натрия;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iv) соли, такие, как хлористый аммоний, хлорноватокислый калий, углекислый калий, углекислый натрий, перборат, азотнокислое серебро;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v) неметаллы, оксиды металлов или другие неорганические соединения, такие, как карбид кальция, кремний, карбид кремния;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установки для производства в промышленном масштабе фосфорных, азотных или калийных минеральных удобрений (простых или сложных удобрений);</w:t>
            </w:r>
          </w:p>
        </w:tc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установки для производства в промышленном масштабе основных продуктов для растениеводства и биоцидов;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 на которых используются химические или биологические процессы для производства в промышленном масштабе основных фармацевтических продуктов;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производства в промышленном масштабе взрывчатых веществ и пиротехнических продуктов.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отходами и сточными водами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сжигания, пиролиза, рекуперации, химической обработки или захоронения опасных отходов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которые поступает 10 т в день 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работников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сжигания коммунально-бытовых отходов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3 т в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удаления неопасных отходов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50 т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(исключая свалки инертных отходов)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которые поступает 10 т в день, или с общей емкостью 25 000 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удаления или рециркуляции туш домашних животных и отходов животноводства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перерабатывающей мощностью 10 т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установки для очистки сточных вод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производительностью, эквивалентной численности населения 100 000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эксплуатируемые промышленные установки для очистки сточных вод, обслуживающие один или более из перечисленных в данном приложении видов деятельности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производительностью 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работников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и обработка бумаги и древесины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установки для производства целлюлозы из древесины или аналогичных волокнистых материалов;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установки для производства бумаги и картона и других первичных продуктов из древесины (таких, как картон, древесноволокнистые плиты и фанера)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20 т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установки для обработки химикатами древесины и изделий из древесины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день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Интенсивное животноводство и аквакультура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интенсивного выращивания птицы или свиней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i) 40 000 мест для птицы;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ii) 2 000 мест для откормочных свиней (весом свыше 30 кг);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iii) 750 мест для свиноматок;</w:t>
            </w:r>
          </w:p>
          <w:bookmarkEnd w:id="249"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работников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Интенсивная аквакультура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 рыбы и моллюсков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животноводства и растениеводства из сектора производства пищевых продуктов и напитков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Бойни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переработке 50 т туш в день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переработка с целью производства пищевых продуктов и напитков из: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i) животного сырья (помимо молока)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мощностью по производству готовой продукции 75 т в день 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ii) растительного сырья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производству 300 т готовой продукции в день (средний показатель на квартальной основе)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 переработка молока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которых количество поступающего молока составляет 200 т в день (средний показатель на ежегодной основе)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виды деятельности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предварительной обработки (такие операции, как промывка, отбеливание, мерсеризация) или окрашивания волокна или текстиля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 объем обрабатываемыхматериалов составляет 10 т в день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работников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дубления кож и шкур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 объем переработки составляет 12 т обработанных продуктов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поверхностной обработки веществ, предметов или продуктов с использованием органических растворителей, в частности для отделки, печати, покрытия, обезжиривания, гидроизолирования, калибровки, окраски, очистки или пропитки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150 кг в час или 200 т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производства углерода (естественного кокса) или электрографита путем сжигания или графитизации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строительства и окраски или удаления краски с судов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производственными возможностями для судов длиной 100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Пояснительные примечания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1 приведены пороговые значения производственной мощности, упомянутые в пункте 1(а) статьи 7. 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"*" означает, что пороговое значение производительности к этому виду деятельности не применяется (требование о представлении отчетности распространяется на все объекты).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2 приведены пороговые значения для численности работников, упомянутые в пункте 1(b) статьи 7. 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работников" означает эквивалент 10 работников, занятых полный рабочий день. </w:t>
      </w:r>
    </w:p>
    <w:bookmarkEnd w:id="254"/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II</w:t>
      </w:r>
      <w:r>
        <w:br/>
      </w:r>
      <w:r>
        <w:rPr>
          <w:rFonts w:ascii="Times New Roman"/>
          <w:b/>
          <w:i w:val="false"/>
          <w:color w:val="000000"/>
        </w:rPr>
        <w:t>ЗАГРЯЗНИТЕЛИ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533"/>
        <w:gridCol w:w="1887"/>
        <w:gridCol w:w="1636"/>
        <w:gridCol w:w="1833"/>
        <w:gridCol w:w="1833"/>
        <w:gridCol w:w="1834"/>
        <w:gridCol w:w="1245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КАС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выбросов (колонка 1)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для переноса загрязнителей за пределы участка (колонка 2) кг/год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для производства обработки или использования (колонка 3) кг/год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 (колонка 1 (а)) кг/год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воду (колонка 1(b) кг/год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землю (колонка 1(с)) кг/год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 (СО)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124-38-9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Гидрофторуглероды (ГФУ)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10024-97-2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метановые летучие органические соединения (НМЛОС)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Перфторуглероды (ПФУ)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Шестифтористая сера (SF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азота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фосфора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Гидрохлорфторуглероды (ГХФУ)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Хлорфторуглероды (ХФУ)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Галоны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виде As)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виде Cd)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виде Cr)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его соединения (в виде Cu)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его соединения (в виде Hg)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виде Ni)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его соединения (в виде Pb)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виде Zn)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Алахлор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470-90-6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Хлорвенфинфос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85535-84-8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Хлоралканы,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330-54-1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Эндосульфан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виде АОГ)</w:t>
            </w:r>
          </w:p>
          <w:bookmarkEnd w:id="256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Гексахлорбутадиен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(ГХБД)</w:t>
            </w:r>
          </w:p>
          <w:bookmarkEnd w:id="257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1,2,3,4,5,6-гексахлорцик-логексан (ГХГ)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ПХДД+ПХДФ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(диоксины+фураны)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виде э.т.)</w:t>
            </w:r>
          </w:p>
          <w:bookmarkEnd w:id="258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Полихлорированные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дифенилы (ПХД)</w:t>
            </w:r>
          </w:p>
          <w:bookmarkEnd w:id="259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(ТХЭ)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(ТХМ)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(ТХБ)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Таксофен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дифениловые эфиры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(БДЭ)</w:t>
            </w:r>
          </w:p>
          <w:bookmarkEnd w:id="260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Нонилфенол этоксилаты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(НФ/НФЭ) и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вещества</w:t>
            </w:r>
          </w:p>
          <w:bookmarkEnd w:id="261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34123-59-6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Изопротурон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Органотиновые соединения (в видеобщего Sn)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Ди-(2-этилгексил)фталат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(ДЭГФ)</w:t>
            </w:r>
          </w:p>
          <w:bookmarkEnd w:id="262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(в виде общего C)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Полициклические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ароматические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(ПАУ)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b</w:t>
            </w:r>
          </w:p>
          <w:bookmarkEnd w:id="263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Трибутилин и соединения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Трифенилтин и соединения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органический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 (ООУ) (в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 или ХПК/3)</w:t>
            </w:r>
          </w:p>
          <w:bookmarkEnd w:id="264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(ввиде BTEX)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(в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Cl)</w:t>
            </w:r>
          </w:p>
          <w:bookmarkEnd w:id="265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и неорганические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(в виде HCl)</w:t>
            </w:r>
          </w:p>
          <w:bookmarkEnd w:id="266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(в виде общего CN)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(в виде общегоF)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неорганические соединения (в виде HF)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74-60-8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 (HCN)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частицы ТЧ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Пояснительные замечания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КАС загрязнителя означает точный идентификатор в КАС (Перечень химических соединений). 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1 приведены пороговые значения, упомянутые в пунктах 1(а)(i) и (iv) статьи 7. Если пороговое значение в данной подколонке (в воздух, воду или землю), превышается, то для тех Сторон, которые выбрали систему представления данных согласно пункту 1(а) статьи 7, требуется представление данных по соответствующему объекту о выбросах или, в случае загрязнителей, содержащихся в сточных водах, предназначенных для очистки сточных вод, о переносах в экологическую среду, упомянутую в этой подколонке.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2 приведены пороговые значения, упомянутые в пункте 1(а)(ii) статьи 7. Если пороговое значение в этой колонке превышается для данного загрязнителя, то для тех Сторон, которые выбрали систему представления данных согласно пункту 1(а)(ii) статьи 7, требуется представление данных по соответствующему объекту о переносе этого загрязнителя за пределы участка. 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3 приведены пороговые значения, упомянутые в пункте 1(b) статьи 7. Если пороговые значения в этой колонке превышаются для данного загрязнителя, то для тех Сторон, которые выбрали систему представления данных согласно пункту 1(b) статьи 7, требуется представление данных по соответствующему объекту о выбросах и переносах за пределы участка этого загрязнителя. 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"–" указывает на то, что данный параметр не задействует требования о представлении данных. 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"*" указывает на то, что для данного загрязнителя необходимо использовать пороговое значение выбросов, указанное в колонке 1 а), а не пороговое значения для производства, обработки или использования. 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"**" указывает на то, что для данного загрязнителя необходимо использовать пороговое значение выбросов, указанное в колонке 1 b), а не пороговое значение для производства, обработки или использования.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Сноски 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Отдельные загрязнители, по которым должны представляться данные в случае превышения порогового значения для ВТЕХ (суммарный параметр для бензола, толуола, этилбензолов и ксиленов). 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Полициклические ароматические углеводороды (ПАУ) измеряются как бензо(а)пирен(50-32-8), бензо(в)флуорантен(205-99-2), бензо(к)флуорантен(207-08-9), идено(1,2,3-cd)пирен (193-39-5) (взято из Протокола по стойким органическим загрязнителям к Конвенции о трансграничном загрязнении воздуха на большие расстояния). 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В виде неорганических соединений. </w:t>
      </w:r>
    </w:p>
    <w:bookmarkEnd w:id="278"/>
    <w:bookmarkStart w:name="z29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III</w:t>
      </w:r>
      <w:r>
        <w:br/>
      </w:r>
      <w:r>
        <w:rPr>
          <w:rFonts w:ascii="Times New Roman"/>
          <w:b/>
          <w:i w:val="false"/>
          <w:color w:val="000000"/>
        </w:rPr>
        <w:t xml:space="preserve">ЧАСТЬ А </w:t>
      </w:r>
      <w:r>
        <w:br/>
      </w:r>
      <w:r>
        <w:rPr>
          <w:rFonts w:ascii="Times New Roman"/>
          <w:b/>
          <w:i w:val="false"/>
          <w:color w:val="000000"/>
        </w:rPr>
        <w:t xml:space="preserve">ОПЕРАЦИИ ПО УДАЛЕНИЮ ("У") 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-Захоронение в земле или сброс на землю (например, на свалку).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-Обработка земли (например, биохимическое разложение жидких или шламовых отходов в почве и т.д.). 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-Закачка на большую глубину (например, закачка отходов соответствующей консистенции в скважины, соляные купола или естественные резервуары). 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-Сброс в поверхностные резервуары (например, сброс жидких или шламовых отходов в котлованы, пруды или отстойные бассейны). 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-Сброс на специально оборудованные свалки (например, сброс в отдельные отсеки с защитным покрытием, закрывающиеся крышкой и изолированные друг от друга и окружающей среды). 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-Сброс в водоемы, кроме морей/океанов. 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-Сброс в моря/океаны, в том числе захоронение на морском дне. 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-Биологическая обработка, не оговоренная в других разделах настоящего приложения, которая ведет к образованию конечных соединений или смесей, которые затем удаляются каким–либо из способов, оговоренных в настоящем разделе. 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-Физико-химическая обработка, не оговоренная в других разделах настоящего приложения, которая ведет к образованию конечных соединений или смесей, которые затем удаляются каким–либо из способов, оговоренных в настоящем разделе (например, выпаривание, сушка, прокаливание, нейтрализация, осаждение). 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-Сжигание на суше. 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-Сжигание в море. 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-Захоронение (например, размещение контейнеров в шахте). 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-Получение однородной или неоднородной смеси до начала любой из операций, указанных в настоящем разделе. 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-Переупаковка до начала любой из операций, указанных в настоящем разделе. 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-Хранение в ожидании любой из операций, указанных в настоящем разделе. </w:t>
      </w:r>
    </w:p>
    <w:bookmarkEnd w:id="294"/>
    <w:bookmarkStart w:name="z31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   </w:t>
      </w:r>
      <w:r>
        <w:br/>
      </w:r>
      <w:r>
        <w:rPr>
          <w:rFonts w:ascii="Times New Roman"/>
          <w:b/>
          <w:i w:val="false"/>
          <w:color w:val="000000"/>
        </w:rPr>
        <w:t xml:space="preserve">ОПЕРАЦИИ ПО РЕКУПЕРАЦИИ ("Р")   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-Использование в виде топлива (кроме прямого сжигания) или иным образом для получения энергии. 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-Утилизация/восстановление растворителей. 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-Рециркуляция/утилизация органических веществ, не используемых в виде растворителей. 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-Рециркуляция/утилизация металлов и их соединений. 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-Рециркуляция/утилизация других неорганических материалов. 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-Восстановление кислот или оснований. 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-Рекуперация компонентов, используемых для борьбы с загрязнением. 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-Рекуперация компонентов катализаторов. 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-Повторная перегонка использованных нефтепродуктов или иное повторное применение ранее использованных нефтепродуктов. 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-Обработка земель, благотворно сказывающаяся на земледелии или улучшающая экологическую обстановку. 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-Использование остаточных материалов от любых операций по рекуперации, указанных в настоящем разделе. 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-Обмен отходами для их задействования в операциях по рекуперации, указанных в настоящем разделе. 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-Аккумулирование материала, предназначенного для последующего задействования в любой операции, указанной в настоящем разделе. </w:t>
      </w:r>
    </w:p>
    <w:bookmarkEnd w:id="308"/>
    <w:bookmarkStart w:name="z32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IV   </w:t>
      </w:r>
      <w:r>
        <w:br/>
      </w:r>
      <w:r>
        <w:rPr>
          <w:rFonts w:ascii="Times New Roman"/>
          <w:b/>
          <w:i w:val="false"/>
          <w:color w:val="000000"/>
        </w:rPr>
        <w:t xml:space="preserve">АРБИТРАЖ   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передачи спора на арбитражное разбирательство согласно пункту 2 статьи 23 настоящего Протокола сторона или стороны уведомляют по дипломатическим каналам другую сторону или другие стороны спора, а также секретариат о предмете арбитражного разбирательства и указывают, в частности, статьи настоящего Протокола, относительно толкования или применения которых возник спор. Секретариат препровождает полученную информацию всем Сторонам настоящего Протокола. 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Арбитражный суд состоит из трех членов. Как сторона-истец или стороны-истцы, так и другая сторона или другие стороны спора назначают по одному арбитру, и два назначенных таким образом арбитра по взаимному согласию назначают третьего арбитра, выполняющего функции председателя арбитражного суда. Последний не может быть гражданином одной из сторон спора и не может иметь свое обычное место жительства на территории одной из этих сторон, не может находиться у них на службе или в каком-либо ином качестве иметь отношения к этому делу. 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 истечении двух месяцев после назначения второго арбитра не назначен председатель арбитражного суда, то по просьбе любой из сторон спора Исполнительный секретарь Европейской экономической комиссии назначает его в течение последующих двух месяцев. 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одна из сторон спора не назначает арбитра в течение двух месяцев после получения уведомления, упомянутого в пункте 1, то другая сторона может информировать об этом Исполнительного секретаря Европейской экономической комиссии, который назначает председателя арбитражного суда в течение последующих двух месяцев. После своего назначения председатель арбитражного суда просит сторону, которая еще не назначила арбитра, сделать это в течение двух месяцев. Если она не сделает этого в течение такого срока, то председатель информирует об этом Исполнительного секретаря Европейской экономической комиссии, который производит такое назначение в течение последующих двух месяцев. 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Арбитражный суд выносит свое решение в соответствии с международным правом и положениями настоящего Протокола. 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Любой арбитражный суд, учреждаемый в соответствии с положениями настоящего приложения, разрабатывает свои собственные правила процедуры. 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арбитражного суда как по процедурным вопросам, так и по вопросам существа принимаются большинством голосов его членов. 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 может принимать все надлежащие меры для установления фактов. 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спора оказывают содействие работе арбитражного суда и, в частности, используя для этого все имеющиеся в их распоряжении средства: 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предоставляют ему все соответствующие документы, условия и информацию; 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при необходимости предоставляют ему возможность вызывать свидетелей или экспертов и заслушивать их показания. 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спора и члены арбитражного суда соблюдают конфиденциальность любой информации, получаемой ими в конфиденциальном порядке в ходе разбирательства в арбитражном суде. 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Арбитражный суд может по просьбе одной из сторон рекомендовать принятие временных мер защиты. 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одна из сторон спора не является в арбитражный суд или не участвует в разбирательстве своего дела, другая сторона может просить суд продолжить разбирательство и вынести свое окончательное решение. Отсутствие одной из сторон в суде или неучастие одной из сторон в разбирательстве по делу не является препятствием для разбирательства. До вынесения своего окончательного решения арбитражный суд должен убедиться в том, что иск является фактически и юридически обоснованным. 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Арбитражный суд может заслушивать встречные иски, возникающие непосредственно из существа спора, и выносить по ним решения. 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только арбитражный суд не примет иного решения, исходя из конкретных обстоятельств дела, судебные издержки, включая оплату услуг членов суда, покрываются сторонами спора поровну. Суд регистрирует все свои расходы и предоставляет сторонам спора окончательный отчет об этих расходах. 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Любая Сторона настоящего Протокола, которая имеет к предмету спора интерес правового характера и может быть затронута решением по данному делу, может принимать участие в разбирательстве с согласия суда. 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Арбитражный суд выносит свое решение в течение пяти месяцев с даты своего учреждения, если только он не сочтет необходимым продлить этот срок на период, не превышающий пяти месяцев. 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арбитражного суда сопровождается изложением причин. Это решение является окончательным и обязательным для всех сторон спора. Арбитражный суд направляет свое решение сторонам спора и секретариату. Секретариат препровождает полученную информацию всем Сторонам настоящего Протокола. 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Любой спор, который может возникнуть между сторонами относительно толкования или выполнения решения суда, может быть передан любой из сторон в арбитражный суд, который вынес это решение, или — при невозможности воспользоваться услугами последнего — в другой суд, создаваемый с этой целью таким же образом, как и первый. 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Далее прилагается текст Протокола на французском и английском языках.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