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7047" w14:textId="245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декабря 2019 года № 279-VІ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среды, совершенный в Киеве 21 мая 2003 года.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РЕГИСТРАХ ВЫБРОСОВ И ПЕРЕНОСА ЗАГРЯЗНИТЕЛЕЙ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22 апреля 2020 года, Бюллетень международных договоров РК 2020 г., № 4, ст. 16)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Стороны настоящего Протокола,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пункт 9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1998 года о доступе к информации, участии общественности в процессе принятия решений и доступе к правосудию по вопросам, касающимся окружающей среды (Орхусская конвенция),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регистры выбросов и переноса загрязнителей создают мощный механизм для повышения подотчетности корпораций, сокращения загрязнения и содействия устойчивому развитию, как указано в Луккской декларации, принятой на первом Совещании Сторон Орхусской конвенции,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10 Рио-де-Жанейрской декларации по окружающей среде и развитию 1992 года,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принципы и обязательства, согласованные на Конференции Организации Объединенных Наций по окружающей среде и развитию 1992 года, в частности положения главы 19 Повестки дня на XXI век,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принимая к сведению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Программу действий по дальнейшему осуществлению Повестки дня на XXI век, принятую Генеральной Ассамблеей Организации Объединенных Наций на ее девятнадцатой специальной сессии 1997 года, в которой она призвала, в частности, к наращиванию потенциала и возможностей стран в области сбора, обработки и распространения информации с целью расширения доступа общественности к информации о глобальных экологических проблемах с использованием соответствующих средств,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действий по осуществлению решений Всемирной встречи на высшем уровне по устойчивому развитию 2002 года, в котором содержится призыв обеспечивать накопление согласованной комплексной информации о химических веществах, например через национальные регистры выбросов и переноса загрязнителей,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работы Межправительственного форума по химической безопасности, в частности Баийскую декларацию по химической безопасности, Приоритеты для действий после 2000 года и План действий по регистрам выбросов и переноса загрязнителей/кадастрам выбросов,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принимая также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деятельность, осуществляемую в рамках Межорганизационной программы по безопасному обращению с химическими веществами,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принимая далее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деятельности Организации экономического сотрудничества и развития, в частности рекомендацию ее Совета о введении регистров выбросов и переноса загрязнителей, в которой Совет призывает страны-члены создать национальные регистры выбросов и переноса загрязнителей и обеспечить их доступность для общественности,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стремясь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создать механизм, способствующий реализации права каждого человека нынешнего и грядущих поколений жить в благоприятной для его здоровья и благосостояния окружающей среде путем создания доступных для общественности систем экологической информации,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стремясь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обеспечить, чтобы при создании и совершенствовании таких систем учитывались принципы, способствующие устойчивому развитию, например подход на основе принципа предосторожности, изложенный в принципе 15 Рио-де-Жанейрской декларации по окружающей среде и развитию 1992 года,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связь между адекватными информационными системами экологических данных и осуществлением прав, закрепленных в Орхусской конвенции,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отмечая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сотрудничества с другими инициативами, касающимися загрязнителей и отходов, включая Стокгольмскую конвенцию о стойких органических загрязнителях 2001 года и Базельскую конвенцию о контроле за трансграничной перевозкой опасных отходов и их удалением 1989 года,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цели комплексного подхода к сведению к минимуму загрязнения и объема отходов, образующихся в результате эксплуатации промышленных установок и из других источников, состоят в обеспечении высокого уровня защиты окружающей среды в целом, продвижении по пути устойчивого и экологически приемлемого развития, а также в защите здоровья нынешнего и грядущих поколений,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будучи убеждены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ценности регистров выбросов и переноса загрязнителей как экономически эффективного инструмента для содействия улучшению экологических показателей, для обеспечения доступа общественности к информации о выбросах загрязнителей в районах размещения общин и переносе загрязнителей в такие общины и через занимаемые ими территории, а также для использования правительствами при выявлении тенденций, демонстрации прогресса в деле сокращения загрязнения, контроля за соблюдением ряда международных соглашений, установления приоритетов и оценки прогресса, достигнутого путем реализации экологической политики и программ,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полагая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регистры выбросов и переноса загрязнителей могут обеспечить промышленности ощутимые выгоды благодаря совершенствованию управления загрязнителями,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отмечая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возможности для использования данных из регистров выбросов и переноса загрязнителей в сочетании с медицинской, экологической, демографической, экономической или иной соответствующей информацией с целью углубления понимания потенциальных проблем, выявления "горячих точек", принятия предупредительных мер и мер по сглаживанию неблагоприятного воздействия, а также установления приоритетов в области рационального использования окружающей среды,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важность обеспечения конфиденциальности для идентифицированных или идентифицируемых физических лиц при обработке информации, представляемой для регистров выбросов и переноса загрязнителей в соответствии с применимыми международными нормами, касающимися защиты данных,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важность создания и совершенствования сопоставимых на международном уровне национальных систем регистров выбросов и переноса загрязнителей для повышения уровня сопоставимости данных,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отмечая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многие государства — члены Европейской экономической комиссии Организации Объединенных Наций, Европейское сообщество и Стороны Североамериканского соглашения о свободной торговле принимают меры по сбору данных, касающихся выбросов и переноса загрязнителей из различных источников, и по обеспечению доступности этих данных для общественности, и признавая, что особенно в этой области некоторые страны в течение длительного периода времени накопили ценный опыт,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различные подходы, применяемые в существующих регистрах выбросов, и необходимость избегать дублирования и признавая в этой связи необходимость обеспечения определенной степени гибкости,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настоятельно призывая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последовательно совершенствовать национальные регистры выбросов и переноса загрязнителей,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настоятельно призывая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устанавливать связи между национальными регистрами выбросов и переноса загрязнителей и информационными системами по другим выбросам, вызывающим обеспокоенность у общественности,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договорились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Цель   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настоящего Протокола заключается в расширении доступа общественности к информации путем создания в соответствии с положениями настоящего Протокола согласованных, комплексных общенациональных регистров выбросов и переноса загрязнителей (РВПЗ), которые могли бы способствовать участию общественности в процессе принятия решений по вопросам, касающимся окружающей среды, а также содействовать предупреждению и сокращению загрязнения окружающей среды. 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Протокола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"Сторона", если в тексте не содержится иного указания, означает государство или региональную организацию экономической интеграции,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согласились быть связанными положениями настоящего Протокола и для которых Протокол вступил в силу.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"Конвенция" означает Конвенцию о доступе к информации, участии общественности в процессе принятия решений и доступе к правосудию по вопросам, касающимся окружающей среды, составленную в Орхусе, Дания, 25 июня 1998 года.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"Общественность" означает одно физическое или юридическое лицо или несколько таких лиц и, в соответствии с национальным законодательством или практикой, их ассоциации, организации или группы.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"Объект" означает одну или несколько установок на одном и том же участке или на прилегающих участках, которые находятся в собственности одного и того же физического или юридического лица или эксплуатируются одним и тем же физическим или юридическим лицом.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"Компетентный орган" означает национальный орган или органы или любое другое компетентное учреждение или учреждения, назначенные Стороной для ведения национальной системы регистров выбросов и переноса загрязнителей.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"Загрязнитель" означает вещество или группу веществ, которые могут быть вредны для окружающей среды или здоровья человека в силу их свойств и в результате их введения в окружающую среду.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"Выброс" означает любое введение загрязнителей в окружающую среду в результате любой антропогенной деятельности, независимо от того, является ли оно намеренным или аварийным, плановым или внеплановым, включая разлив, эмиссию, выпуск, закачку, удаление или сброс в отвал или через системы канализации без окончательной очистки сточных вод.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"Перенос за пределы участка" означает перемещение за пределы объекта загрязнителей или отходов, предназначенных для удаления или рекуперации, и загрязнителей, содержащихся в сточных водах, предназначенных для очистки.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"Диффузные источники" означают множество мелких или рассеянных источников, из которых загрязнители могут выбрасываться в землю, воздух или воду, совокупное воздействие которых на эти компоненты окружающей среды может быть значительным и для которых практически нецелесообразно собирать отчетность по каждому отдельному источнику.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Термины "национальный" и "общенациональный" по отношению к обязательствам, ложащимся в соответствии с настоящим Протоколом на Стороны, являющиеся региональными организациями экономической интеграции, понимаются, если в тексте не содержится иного указания, как относящиеся к данному региону.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"Отходы" означают вещества или предметы, которые: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удаляются или рекуперируются;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предназначены к удалению или рекуперации; или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подлежат удалению или рекуперации в соответствии с положениями национального законодательства.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"Опасные отходы" означают отходы, которые определяются в качестве опасных положениями национального законодательства.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"Иные отходы" означают отходы, не являющиеся опасными.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"Сточные воды" означают подлежащие регулированию национальным законодательством использованные воды, содержащие вещества или предметы. 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принимает необходимые законодательные, регулирующие и другие меры, а также надлежащие меры по обеспечению соблюдения в целях выполнения положений настоящего Протокола.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Протокола не затрагивают право Стороны вести или вводить более обширные или более доступные для общественности регистры выбросов и переноса загрязнителей, чем это требуется настоящим Протоколом.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принимает необходимые меры для обеспечения того, чтобы работники объекта и представители общественности, сообщающие в государственные органы о нарушении каким-либо объектом национальных законов, принятых в осуществление настоящего Протокола, не подвергались наказанию, преследованию или гонениям со стороны этого объекта или государственных органов за свои действия, связанные с сообщением о данном нарушении.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настоящего Протокола каждая Сторона руководствуется подходом на основе принципа предосторожности, изложенным в принципе 15 Рио-де-Жанейрской декларации по окружающей среде и развитию 1992 года.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уменьшения дублирования при представлении отчетности системы регистров выбросов и переноса загрязнителей могут быть, насколько это практически возможно, интегрированы с существующими источниками информации, такими, как механизмы представления отчетности, предусматриваемые лицензиями или разрешениями на эксплуатацию.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стремятся к обеспечению сближения национальных регистров выбросов и переноса загрязнителей.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Основные элементы системы регистра выбросов и переноса загрязнителей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Протоколом каждая Сторона составляет и ведет доступный для общественности национальный регистр выбросов и переноса загрязнителей, который: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ведется в разбивке по конкретным объектам в отношении отчетности по точечным источникам;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включает в себя данные по диффузным источникам;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в соответствующих случаях ведется в разбивке по конкретным загрязнителям или по конкретным отходам;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охватывает различные компоненты окружающей среды, проводя различие между выбросами в воздух, землю и воду;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включает информацию о переносах;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основывается на обязательной отчетности, представляемой на периодической основе;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включает стандартизованные и своевременно представленные данные, ограниченное число стандартизованных пороговых значений для представления отчетности и, при наличии, ограниченное число положений о конфиденциальности;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 является логически последовательным и по своему построению должен быть удобным для пользователей, а также доступным для общественности, в том числе в электронной форме;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предусматривает участие общественности в его создании и модификации; и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j) представляет собой структурированную и компьютеризованную базу данных или ряд связанных баз данных, ведущихся компетентным органом. 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Построение и структура 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обеспечивает, чтобы данные, содержащиеся в регистре, упомянутом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были представлены в агрегированном и неагрегированном виде, с тем чтобы можно было вести поиск выбросов и переносов и идентифицировать их по: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объекту и его географическому местоположению;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виду деятельности;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владельцу или оператору и в соответствующих случаях компании;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в соответствующих случаях загрязнителю или отходам;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каждому компоненту окружающей среды, в которую выбрасывается загрязнитель;и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как указывается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конечному пункту переноса и в соответствующих случаях операции по удалению и рекуперации отходов. 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также обеспечивает возможность поиска и идентификации данных на основании тех диффузных источников, которые включены в регистр.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строит свой регистр, учитывая возможность его будущего расширения и обеспечивая, чтобы содержащиеся в нем данные отчетности за, по меньшей мере, десять предыдущих отчетных лет были доступны для общественности.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 строится таким образом, чтобы в максимальной степени облегчать доступ общественности через электронные средства связи, такие, как Интернет. Построение регистра обеспечивает возможности для того, чтобы содержащаяся в нем информация в обычных условиях его использования была постоянно и незамедлительно доступна через электронные средства связи.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Каждой Стороне следует предусмотреть в своем регистре ссылки на соответствующие имеющиеся и доступные для общественности базы данных по темам, относящимся к охране окружающей среды.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Сторона предусматривает в своем регистре ссылки на регистры выбросов и переноса загрязнителей других Сторон Протокола и, когда это возможно, на регистры выбросов и переноса загрязнителей других стран. 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Сфера охвата регистра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обеспечивает, чтобы ее регистр включал информацию о: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выбросах загрязнителей, по которым требуется представлять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переносах за пределы участка, по которым требуется представлять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7; и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выбросах загрязнителей из диффузных источников, по которым требуется представлять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Проведя оценку опыта, накопленного в ходе создания и совершенствования национальных регистров выбросов и переноса загрязнителей и осуществления настоящего Протокола, и принимая во внимание соответствующие международные процессы, Совещание Сторон проводит обзор требований в отношении представления отчетности в соответствии с настоящим Протоколом и рассматривает следующие вопросы его дальнейшего совершенствования: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пересмотр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пересмотр загрязнителей,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пересмотр пороговых уровней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I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; и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включение других соответствующих аспектов, таких, как информация о переносах в пределах участков, хранении, определении требований в отношении представления отчетности о диффузных источниках или разработке критериев для включения загрязнителей в соответствии с настоящим Протоколом. 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Требования в отношении представления отчетности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либо: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требует от владельца или оператора каждого отдельного объекта, находящегося под ее юрисдикцией, который осуществляет один или более видов деятельности,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сверх применимых пороговых значений для деятельности, указанных в колонке 1 </w:t>
      </w:r>
      <w:r>
        <w:rPr>
          <w:rFonts w:ascii="Times New Roman"/>
          <w:b w:val="false"/>
          <w:i w:val="false"/>
          <w:color w:val="000000"/>
          <w:sz w:val="28"/>
        </w:rPr>
        <w:t>приложения I</w:t>
      </w:r>
      <w:r>
        <w:rPr>
          <w:rFonts w:ascii="Times New Roman"/>
          <w:b w:val="false"/>
          <w:i w:val="false"/>
          <w:color w:val="000000"/>
          <w:sz w:val="28"/>
        </w:rPr>
        <w:t xml:space="preserve">, и: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осуществляет выбросы любых загрязнителей,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количествах, превышающих применимые пороговые значения, указанные в колонке 1 </w:t>
      </w:r>
      <w:r>
        <w:rPr>
          <w:rFonts w:ascii="Times New Roman"/>
          <w:b w:val="false"/>
          <w:i w:val="false"/>
          <w:color w:val="000000"/>
          <w:sz w:val="28"/>
        </w:rPr>
        <w:t>приложения II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осуществляет перенос за пределы участка любого загрязнителя, указанного в приложении II, в количествах, превышающих применимые пороговые значения, указанные в колонке 2 </w:t>
      </w:r>
      <w:r>
        <w:rPr>
          <w:rFonts w:ascii="Times New Roman"/>
          <w:b w:val="false"/>
          <w:i w:val="false"/>
          <w:color w:val="000000"/>
          <w:sz w:val="28"/>
        </w:rPr>
        <w:t>приложения II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тех случаях, когда Сторона избрала вариант представления отчетности в отношении переноса конкретных загрязнителей согласно пункту 5(d);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iii) осуществляет перенос за пределы участка опасных отходов, превышающий две тонны в год, или других отходов, превышающий 2 000 т в год, в тех случаях, когда Сторона избрала вариант представления отчетности в отношении переноса конкретных отходов согласно пункту 5(d); или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iv) осуществляет перенос за пределы участка любого загрязнителя,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сточных водах, предназначенных для очистки, в количествах, превышающих применимые пороговые значения, указанные в колонке 1b </w:t>
      </w:r>
      <w:r>
        <w:rPr>
          <w:rFonts w:ascii="Times New Roman"/>
          <w:b w:val="false"/>
          <w:i w:val="false"/>
          <w:color w:val="000000"/>
          <w:sz w:val="28"/>
        </w:rPr>
        <w:t>приложения II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брать на себя обязательство, возлагаемое на такого владельца или оператора согласно пункту 2; либо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требует от владельца или оператора каждого отдельного объекта, находящегося под ее юрисдикцией, который осуществляет один или более видов деятельности,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уровне или сверх пороговых значений для численности работников, указанных в колонке 2 </w:t>
      </w:r>
      <w:r>
        <w:rPr>
          <w:rFonts w:ascii="Times New Roman"/>
          <w:b w:val="false"/>
          <w:i w:val="false"/>
          <w:color w:val="000000"/>
          <w:sz w:val="28"/>
        </w:rPr>
        <w:t>приложения I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производит, обрабатывает или использует любой загрязнитель,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количествах, превышающих применимые пороговые значения, указанные в колонке 3 приложения II, брать на себя обязательство, возлагаемое на такого владельца или оператора согласно пункту 2.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требует от владельца или оператора объекта, упомянутого в пункте 1, представлять информацию, указанную в пунктах 5 и 6, и в соответствии с предусмотренными в них требованиями в отношении тех загрязнителей и отходов, по которым были превышены пороговые значения.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достижения цели настоящего Протокола Сторона может принять решение в отношении конкретного загрязнителя применять либо пороговое значение, касающееся выброса, или пороговое значение для производства, обработки или использования, при условии что это увеличивает соответствующую информацию о выбросах или переносах, имеющуюся в ее регистре.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обеспечивает, чтобы ее компетентный орган вел сбор информации или назначил один или несколько государственных органов или компетентных ведомств для сбора информации о выбросах загрязнителей из диффузных источников, перечисленных в пунктах 7 и 8, для включения в ее регистр.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Каждая Сторона требует от владельцев или операторов объектов, по которым требуется представлять отчетность в соответствии с пунктом 2, подготавливать и направлять ее компетентному органу следующую информацию по конкретным объектам: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наименование, почтовый адрес, географическое местоположение и вид или виды деятельности объекта, представляющего отчетность, а также имя и фамилию владельца или оператора и, в соответствующих случаях, название компании;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наименование и идентификационный номер каждого загрязнителя, по которому требуется представлять отчетность согласно пункту 2;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количество каждого загрязнителя, по которому требуется представлять отчетность согласно пункту 2, выброшенного с объекта в окружающую среду за отчетный год как в совокупности, так и в разбивке по выбросам в воздух, воду или землю, включая подземную закачку;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либо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количество каждого загрязнителя, по которому требуется представлять отчетность в соответствии с пунктом 2, перенесенное за пределы участка за отчетный год, с разграничением между количествами, перенесенными для целей удаления и рекуперации, а также наименование и адрес объекта, на который поступает перенос; либо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количество отходов, по которым требуется представлять отчетность согласно пункту 2, перенесенное за пределы участка за отчетный год, с разграничением между опасными отходами и иным отходами, для любых операций по рекуперации или удалению с указанием соответственно пометки "Р" или "У", если отходы предназначены для рекуперации или удаления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III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при трансграничном перемещении опасных отходов, наименование и адрес предприятия, осуществляющего рекуперацию или удаление отходов, и фактического участка рекуперации или удаления, на который поступает перенос;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количество каждого загрязнителя в сточных водах, по которому требуется представлять отчетность согласно пункту 2, перенесенное за пределы участка в течение отчетного года; и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тип методологии, использовавшейся для получения информации, упомянутой в подпунктах (с)–(е),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 указанием того, основана ли информация на измерениях, расчетах или оценках.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упомянутая в подпунктах (с)-(е) пункта 5, включает в себя информацию об общих выбросах и переносах в результате плановой деятельности или внештатных ситуаций.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Сторона представляет в своем регистре в надлежащей пространственной разбивке информацию о выбросах загрязнителей из диффузных источников, в отношении которых эта Сторона определяет, что данные собираются соответствующими органами и имеется практическая возможность их включения. В тех случаях, когда Сторона определяет, что такие данные не существуют, она принимает меры для инициации представления отчетности о выбросах соответствующих загрязнителей из одного или большего числа диффузных источников в соответствии с ее национальными приоритетами.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Информация, упомянутая в пункте 7, включает информацию о типе методологии, использованной для получения информации. 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Периодичность отчетности  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обеспечивает, чтобы информация, которую требуется включать в ее регистр, была доступной для общественности и чтобы она подбиралась и была в регистре в разбивке по календарным годам. Отчетным годом является календарный год, к которому относится такая информация. Для каждой Стороны первым отчетным годом является календарный год после вступления Протокола в силу для этой Стороны. Отчетность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представляется ежегодно. Однако вторым отчетным годом может быть второй календарный год после первого отчетного года.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Сторона, которая не является региональной организацией экономической интеграции, обеспечивает включение в свой регистр информации в течение пятнадцати месяцев после окончания каждого отчетного года. Однако информация за первый отчетный год включается в ее регистр в течение двух лет после окончания этого отчетного года.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Сторона, которая является региональной организацией экономической интеграции, обеспечивает включение в свой регистр информации за конкретный отчетный год через шесть месяцев после срока, в который должны сделать это Стороны, не являющиеся региональными организациями экономической интеграции. 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 </w:t>
      </w:r>
      <w:r>
        <w:br/>
      </w:r>
      <w:r>
        <w:rPr>
          <w:rFonts w:ascii="Times New Roman"/>
          <w:b/>
          <w:i w:val="false"/>
          <w:color w:val="000000"/>
        </w:rPr>
        <w:t xml:space="preserve">Сбор данных и хранение документации 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требует от владельцев или операторов объектов, подпадающих под действие требований о представлении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осуществлять сбор данных, необходимых для определения, в соответствии с пунктом 2 ниже и с надлежащей периодичностью, имевших место на объекте выбросов и переносов за пределы участка, по которым представляется отчетность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хранить доступную для компетентных органов документацию о данных, с помощью которых была получена отчетная информация, в течение пяти лет, начиная с конца соответствующего отчетного года. Эта документация включает также в себя описание использовавшейся методологии сбора данных.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требует от владельцев или операторов объектов, подпадающих под действие требований о представлении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использовать наилучшую имеющуюся информацию, которая может включать в себя данные мониторинга, коэффициенты пересчета выбросов, уравнения баланса массы, данные косвенного мониторинга или иные расчеты, технические оценки и прочие методы. В надлежащих случаях это следует делать в соответствии с международно признанными методологиями. 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Оценка качества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требует, чтобы владельцы или операторы объектов, подпадающих под действие требований о представлении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обеспечивали качество представляемой ими информации.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обеспечивает, чтобы компетентный орган проводил оценку качества данных, содержащихся в ее регистре, в частности, на предмет их полноты, согласованности и достоверности, с учетом любых руководящих принципов, которые могут быть разработаны Совещанием Сторон. 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 xml:space="preserve">Доступ общественности к информации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 доступ общественности к информации, содержащейся в ее регистре выбросов и переноса загрязнителей без необходимости формулировать свою заинтересованность и в соответствии с положениями настоящего Протокола главным образом путем обеспечения того, чтобы ее регистр предусматривал прямой электронный доступ через публичные сети связи.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тех случаях, когда общественность не имеет беспрепятственного доступа к информации, содержащейся в регистре соответствующей Стороны, с помощью прямых электронных средств, каждая Сторона обеспечивает, чтобы ее компетентный орган представлял по запросу такую информацию с помощью любых других эффективных средств как можно скорее, но не позднее, чем через один месяц после получения соответствующего запроса.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условии соблюдения положений пункта 4 каждая Сторона обеспечивает, чтобы доступ к информации, содержащейся в ее регистре, предоставлялся бесплатно.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может разрешить своему компетентному органу взимать плату за воспроизведение и пересылку по почте конкретной информации, упомянутой в пункте 2, но эта плата не должна превышать разумного уровня.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тех случаях, когда общественность не имеет беспрепятственного доступа к информации, содержащейся в регистре соответствующей Стороны, каждая Сторона облегчает электронный доступ к своему регистру в доступных для общественности местах, например в публичных библиотеках, учреждениях местных органов власти и других соответствующих местах. 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Конфиденциальность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может разрешить компетентному органу сохранять конфиденциальность информации, содержащейся в регистре, если публичное раскрытие такой информации будет иметь неблагоприятные последствия для: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международных отношений, национальной обороны или государственной безопасности;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отправления правосудия, возможности любого лица иметь доступ к справедливому судебному разбирательству или возможности государственного органа проводить расследование уголовного или дисциплинарного характера;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конфиденциальности коммерческой и промышленной информации в тех случаях, когда такая конфиденциальность охраняется законом в целях защиты законных экономических интересов;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прав интеллектуальной собственности; или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конфиденциальности личных данных и/или досье, касающихся физического лица, если это лицо не дало согласия на раскрытие такой информации общественности в тех случаях, когда такая конфиденциальность предусмотрена в национальном законодательстве.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Вышеупомянутые основания для сохранения конфиденциальности толкуются ограничительно с учетом того, отвечает ли раскрытие информации общественным интересам, а также с учетом того, относится ли запрошенная информация к выбросам в окружающую среду.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подпункта 1(с) любая информация о выбросах, которая имеет отношение к охране окружающей среды, подлежит рассмотрению на предмет ее раскрытия в соответствии с национальным законодательством.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тех случаях, когда сохраняется конфиденциальный статус информации в соответствии с пунктом 1, в регистре указывается тип изъятой информации посредством, например, предоставления, по возможности, общей информации о химических свойствах и причины такого изъятия. 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Участие общественности в создании и совершенствовании национальных регистров выбросов и переноса загрязнителей 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 соответствующие возможности для участия общественности в создании и совершенствовании ее национального регистра выбросов и переноса загрязнителей в рамках ее национального законодательства.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цели пункта 1 каждая Сторона предоставляет общественности возможность бесплатного доступа к информации о предлагаемых мерах, касающихся создания и совершенствования ее национального регистра выбросов и переноса загрязнителей, а также возможность для представления любых замечаний, информации, аналитических материалов или мнений, которые имеют отношение к процессу принятия решений, и соответствующий орган надлежащим образом учитывает такой вклад общественности.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обеспечивает, чтобы при принятии решения о создании или существенном изменении ее регистра общественности своевременно предоставлялась информация об этом решении и сообщались соображения, на которых оно основывается. </w:t>
      </w:r>
    </w:p>
    <w:bookmarkEnd w:id="143"/>
    <w:bookmarkStart w:name="z14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 xml:space="preserve">Доступ к правосудию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в рамках своего национального законодательства обеспечивает, чтобы любое лицо, считающее, что его просьба о доступе к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не принята во внимание или неправомерно отклонена, будь то частично или полностью, что на нее не дано адекватного ответа или что она иным образом не рассмотрена в соответствии с положениями данного пункта, имело доступ к процедуре пересмотра в суде или ином независимом и беспристрастном органе, учрежденном в соответствии с законом.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предусмотренные в пункте 1, применяются без ущерба для прав и обязательств Сторон по действующим применимым между ними договорам, касающимся предмета настоящей статьи. </w:t>
      </w:r>
    </w:p>
    <w:bookmarkEnd w:id="146"/>
    <w:bookmarkStart w:name="z1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 xml:space="preserve">Наращивание потенциала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содействует информированию общественности о ее регистре выбросов и переноса загрязнителей и обеспечивает предоставление общественности помощи и рекомендаций в области доступа к ее регистру и понимания и использования содержащейся в нем информации.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Каждой Стороне следует обеспечивать надлежащее наращивание потенциала ответственных органов и учреждений и предоставление им рекомендаций с целью оказания им помощи в выполнении ими своих обязанностей в соответствии с настоящим Протоколом. 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Международное сотрудничество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соответствующим образом осуществляют сотрудничество и оказывают друг другу содействие: 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 рамках международных действий в поддержку целей настоящего Протокола;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на основе взаимной договоренности между соответствующими Сторонами при внедрении национальных систем во исполнение настоящего Протокола; 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при совместном использовании информации в соответствии с настоящим Протоколом в отношении выбросов и переносов в пограничных районах; и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при совместном использовании информации в соответствии с настоящим Протоколом вотношении переносов между Сторонами.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поощряют сотрудничество между ними и, в надлежащих случаях, с соответствующими международными организациями с целью содействия: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информированию общественности на международном уровне;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передаче технологий; и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оказанию технической помощи Сторонам, являющимся развивающимися странами, и Сторонам, являющимся странами с переходной экономикой, в вопросах, относящихся к настоящему Протоколу. </w:t>
      </w:r>
    </w:p>
    <w:bookmarkEnd w:id="159"/>
    <w:bookmarkStart w:name="z16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Совещание Сторон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учреждается Совещание Сторон. Его первая сессия созывается не позднее чем через два года после вступления в силу настоящего Протокола. Впоследствии очередные сессии Совещания Сторон проводятся последовательно или параллельно с очередными совещаниями Сторон Конвенции, если Стороны настоящего Протокола не примут иного решения. Совещание Сторон проводит внеочередную сессию, если оно принимает соответствующее решение в ходе очередной сессии или же по письменной просьбе любой из Сторон при условии, что в течение шести месяцев после препровождения этой просьбы Исполнительным секретарем Европейской экономической комиссии всем Сторонам указанная просьба будет поддержана по меньшей мере одной третью этих Сторон.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Совещание Сторон постоянно следит за ходом осуществления и совершенствования настоящего Протокола на основе отчетности, регулярно представляемой Сторонами, и с учетом этой цели: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осуществляет обзор создания и совершенствования регистров выбросов и переноса загрязнителей и способствует их последовательному укреплению и сближению; 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определяет руководящие принципы, облегчающие представление ему отчетности Сторонами, учитывая необходимость избегать дублирования усилий в этом отношении; 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определяет программу работы;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рассматривает и, при необходимости, принимает меры по укреплению международного сотрудничества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учреждает такие вспомогательные органы, которые оно сочтет необходимым; 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рассматривает и утверждает предложения, касающиеся таких поправок к настоящему Протоколу и приложений к нему, которые сочтены необходимыми для выполнения целей настоящего Протокола,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на своей первой сессии рассматривает и принимает на основе консенсуса правила процедуры для своих сессий и сессий своих вспомогательных органов с учетом любых правил процедуры, принятых Совещанием Сторон Конвенции; 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 рассматривает возможность учреждения финансовых процедур на основе консенсуса и механизмов технической помощи в целях содействия осуществлению настоящего Протокола; 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прибегает, при необходимости, к услугам других соответствующих международных органов в порядке предоставления услуг достижения целей настоящего Протокола; и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j) рассматривает и принимает любые дополнительные меры, которые могут потребоваться для содействия достижению целей настоящего Протокола, в частности такие, как принятие руководящих принципов и рекомендаций, способствующих его осуществлению.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Совещание Сторон содействует обмену информацией об опыте, приобретенном в ходе представления отчетности о переносе с использованием подходов, ориентированных на конкретные загрязнители и конкретные отходы, и рассматривает такой опыт в целях изучения возможности сближения этих двух подходов, принимая во внимание заинтересованность общественности в информации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общую эффективность национальных регистров выбросов и переноса загрязнителей. 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Объединенных Наций, ее специализированные учреждения и Международное агентство по атомной энергии, а также любое государство или региональная организация экономической интеграции, которые имеют право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подписать настоящий Протокол, но не являются его Стороной, и любая межправительственная организация, обладающая компетенцией в областях, с которыми связан Протокол, имеют право участвовать в сессиях Совещания Сторон в качестве наблюдателей. Вопросы их допуска и участия регулируются правилами роцедуры, принятыми Совещанием Сторон. 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Любая неправительственная организация, обладающая компетенцией в областях, с которыми связан настоящий Протокол, и проинформировавшая Исполнительного секретаря Европейской экономической комиссии о своем желании быть представленной на сессии Совещания Сторон, имеет право на такое участие в качестве наблюдателя, за исключением тех случаев, когда против этого возражает одна треть Сторон, присутствующих на сессии. Вопросы их допуска и участия регулируются правилами процедуры, принятыми Совещанием Сторон. </w:t>
      </w:r>
    </w:p>
    <w:bookmarkEnd w:id="175"/>
    <w:bookmarkStart w:name="z18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 голоса 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исключением случаев, предусмотренных в пункте 2, каждая Сторона настоящего Протокола имеет один голос. 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Региональные организации экономической интеграции осуществляют свое право голоса по вопросам, входящим в их компетенцию, располагая числом голосов, равным числу их государств-членов, являющихся Сторонами. Такие организации не осуществляют своего права голоса, если их государства-члены осуществляют свое право голоса и наоборот. </w:t>
      </w:r>
    </w:p>
    <w:bookmarkEnd w:id="178"/>
    <w:bookmarkStart w:name="z18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Приложения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настоящему Протоколу составляют его неотъемлемую часть и, если явным образом не указывается иного, ссылка на настоящий Протокол одновременно является ссылкой на любые приложения к нему. </w:t>
      </w:r>
    </w:p>
    <w:bookmarkEnd w:id="180"/>
    <w:bookmarkStart w:name="z18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Любая Сторона может предлагать поправки к настоящему Протоколу. 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внесении поправок в настоящий Протокол рассматриваются на сессии Совещания Сторон. 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предлагаемая поправка к настоящему Протоколу представляется в письменной форме в секретариат, который направляет ее по меньшей мере за шесть месяцев до начала сессии, на которой она предлагается для принятия, всем Сторонам, другим государствам и региональным организациям экономической интеграции, которые согласились быть связанными положениями Протокола и для которых он еще не вступил в силу, а также Подписавшим Сторонам. 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прилагают все усилия для достижения согласия по любой предлагаемой поправке к настоящему Протоколу на основе консенсуса. Если все усилия для достижения консенсуса исчерпаны, а согласие не достигнуто, то в крайнем случае поправка принимается большинством в три четверти голосов Сторон, присутствующих на сессии и участвующих в голосовании.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настоящей статьи "Стороны, присутствующие и участвующие в голосовании" означают Стороны, присутствующие на заседании и голосующие за или против.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Любая поправка к настоящему Протоколу, принятая в соответствии с пунктом 4, направляется секретариатом Депозитарию, который распространяет ее среди всех Сторон, других государств и региональных организаций экономической интеграции, которые согласились быть связанными положениями Протокола и для которых он еще не вступил в силу, а также среди Подписавших Сторон. 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Поправка, если таковая не относится к приложению, вступает в силу для тех Сторон, которые ратифицировали, приняли или утвердили ее, на девяностый день после получения Депозитарием документов о ратификации, принятии или утверждении не менее чем тремя четвертями Сторон, являвшихся Сторонами на момент ее принятия. Впоследствии она вступает в силу для любой другой Стороны на девяностый день после сдачи на хранение этой Стороной ее документа о ратификации, принятии или утверждении этой поправки. 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поправки к приложению Сторона, которая не принимает такую поправку, уведомляет об этом Депозитария в письменной форме в течение 12 месяцев с даты ее распространения Депозитарием. Депозитарий незамедлительно извещает все Стороны о получении любого такого уведомления. Сторона может в любое время отозвать уведомление о непринятии, после чего эта поправка к приложению вступает в силу для этой Стороны. 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истечении 12 месяцев с даты ее распространения Депозитарием, как это предусмотрено в пункте 6, поправка к приложению вступает в силу для тех Сторон, которые не направили уведомления Депозитарию в соответствии с пунктом 8, при условии, что к этому времени такое уведомление представили не более трети Сторон, являвшихся Сторонами на момент принятия поправки.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поправка к приложению непосредственно связана с поправкой к настоящему Протоколу, то она не вступает в силу до тех пор, пока не вступит в силу поправка к настоящему Протоколу. </w:t>
      </w:r>
    </w:p>
    <w:bookmarkEnd w:id="191"/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Секретариат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секретарь Европейской экономической комиссии выполняет следующие секретариатские функции в связи с настоящим Протоколом: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подготавливает и обслуживает сессии Совещания Сторон; 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препровождает Сторонам доклады и другую информацию, полученную в соответствии с положениями настоящего Протокола; 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отчитывается перед Совещанием Сторон о работе секретариата; и 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осуществляет такие иные функции, которые могут быть определены Совещанием Сторон на основе имеющихся ресурсов. </w:t>
      </w:r>
    </w:p>
    <w:bookmarkEnd w:id="197"/>
    <w:bookmarkStart w:name="z20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Рассмотрение соблюдения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своей первой сессии Совещание Сторон устанавливает на основе консенсуса процедуры сотрудничества и институциональные механизмы несудебного, несостязательного и консультативного характера для оценки и поощрения соблюдения положений настоящего Протокола и для рассмотрения случаев несоблюдения. При установлении этих процедур и механизмов Совещание Сторон, в частности, рассматривает вопрос о том, целесообразно ли предусмотреть получение информации от представителей общественности по вопросам, относящимся к настоящему Протоколу. </w:t>
      </w:r>
    </w:p>
    <w:bookmarkEnd w:id="199"/>
    <w:bookmarkStart w:name="z20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возникновении спора между двумя или более Сторонами относительно толкования или применения настоящего Протокола они стремятся к его разрешению путем переговоров или с помощью любых других мирных средств урегулирования споров, приемлемых для участвующих в споре сторон. 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подписании, ратификации, принятии и утверждении настоящего Протокола или присоединении к нему или в любой момент после этого государство может направить Депозитарию письменное заявление о том, что в отношении спора, который не был разрешен в соответствии с пунктом 1, оно принимает одно или оба из следующих средств урегулирования споров в качестве обязательных в отношении любой Стороны, принимающей на себя такое же обязательство: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передача спора в Международный Суд; 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арбитраж в соответствии с процедурой, изложенной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IV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организация экономической интеграции может сделать заявление с аналогичными последствиями в отношении арбитража в соответствии с процедурами, упомянутыми в подпункте (b).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стороны спора приняли оба средства урегулирования спора, упомянутые в пункте 2, то спор может быть передан только в Международный Суд, если стороны спора не договорятся об ином. </w:t>
      </w:r>
    </w:p>
    <w:bookmarkEnd w:id="206"/>
    <w:bookmarkStart w:name="z21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 xml:space="preserve">Подписание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открыт для подписания в Киеве (Украина) с 21 по 23 мая 2003 года по случаю проведения пятой Конференции министров "Окружающая среда для Европы", а затем в Центральных учреждениях Организации Объединенных Наций в Нью-Йорке до 31 декабря 2003 года всеми государствами, являющимися членами Организации Объединенных Наций, и региональными организациями экономической интеграции, созданными суверенными государствами — членами Организации Объединенных Наций, которым их государства-члены передали полномочия по вопросам, регулируемым настоящим Протоколом, включая правомочия заключать договоры, касающиеся данных вопросов. </w:t>
      </w:r>
    </w:p>
    <w:bookmarkEnd w:id="208"/>
    <w:bookmarkStart w:name="z21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Депозитария настоящего Протокола выступает Генеральный секретарь Организации Объединенных Наций. </w:t>
      </w:r>
    </w:p>
    <w:bookmarkEnd w:id="210"/>
    <w:bookmarkStart w:name="z21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  <w:r>
        <w:br/>
      </w:r>
      <w:r>
        <w:rPr>
          <w:rFonts w:ascii="Times New Roman"/>
          <w:b/>
          <w:i w:val="false"/>
          <w:color w:val="000000"/>
        </w:rPr>
        <w:t xml:space="preserve">Ратификация, принятие, утверждение и присоединение 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подлежит ратификации, принятию или утверждению подписавшими его государствами и региональными организациями экономической интеграции, упомянутыми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открыт для присоединения для государств и региональных организаций экономической интеграции,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с 1 января 2004 года. 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упомянутая в статье 24 региональная организация экономической интеграции, которая становится Стороной настоящего Протокола, притом, что ни одно из ее государств-членов не является Стороной, связана всеми обязательствами в соответствии с настоящим Протоколом. Если одно или несколько государств-членов такой организации являются Сторонами, данная организация и ее государства-члены принимают решение о своей соответствующей ответственности за выполнение своих обязательств по настоящему Протоколу. В таких случаях данная организация и государства-члены не могут одновременно пользоваться правами, предусмотренными в настоящем Протоколе. 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своих документах о ратификации, принятии, утверждении или присоединении региональные организации экономической интеграции,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заявляют о пределах своих полномочий в отношении вопросов, регулируемых настоящим Протоколом. Эти организации также информируют Депозитария о любом существенном изменении пределов своих полномочий. </w:t>
      </w:r>
    </w:p>
    <w:bookmarkEnd w:id="215"/>
    <w:bookmarkStart w:name="z22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  <w:r>
        <w:br/>
      </w:r>
      <w:r>
        <w:rPr>
          <w:rFonts w:ascii="Times New Roman"/>
          <w:b/>
          <w:i w:val="false"/>
          <w:color w:val="000000"/>
        </w:rPr>
        <w:t xml:space="preserve">Вступление в силу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на девяностый день с даты сдачи на хранение шестнадцатого документа о ратификации, принятии, утверждении или присоединении. 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пункта 1 любой документ, сданный на хранение какой-либо региональной организацией экономической интеграции, не рассматривается в качестве дополнительного к документам, сданным на хранение государствами — членами такой организации. 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государства или каждой региональной организации экономической интеграции, которые ратифицируют, принимают или утверждают настоящий Протокол или присоединяются к нему после сдачи на хранение шестнадцатого документа о ратификации, принятии, утверждении или присоединении, Протокол вступает в силу на девяностый день с даты сдачи на хранение таким государством или такой организацией своего документа о ратификации, принятии, утверждении или присоединении. </w:t>
      </w:r>
    </w:p>
    <w:bookmarkEnd w:id="219"/>
    <w:bookmarkStart w:name="z22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  <w:r>
        <w:br/>
      </w:r>
      <w:r>
        <w:rPr>
          <w:rFonts w:ascii="Times New Roman"/>
          <w:b/>
          <w:i w:val="false"/>
          <w:color w:val="000000"/>
        </w:rPr>
        <w:t xml:space="preserve">Оговорки 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оговорки к настоящему Протоколу не допускаются. </w:t>
      </w:r>
    </w:p>
    <w:bookmarkEnd w:id="221"/>
    <w:bookmarkStart w:name="z22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  <w:r>
        <w:br/>
      </w:r>
      <w:r>
        <w:rPr>
          <w:rFonts w:ascii="Times New Roman"/>
          <w:b/>
          <w:i w:val="false"/>
          <w:color w:val="000000"/>
        </w:rPr>
        <w:t xml:space="preserve">Выход 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любое время по истечении трех лет со дня вступления в силу настоящего Протокола в отношении какой-либо Стороны эта Сторона может выйти из Протокола путем направления письменного уведомления Депозитарию. Любой такой выход приобретает силу на девяностый день с даты получения уведомления о нем Депозитарием. </w:t>
      </w:r>
    </w:p>
    <w:bookmarkEnd w:id="223"/>
    <w:bookmarkStart w:name="z2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  <w:r>
        <w:br/>
      </w:r>
      <w:r>
        <w:rPr>
          <w:rFonts w:ascii="Times New Roman"/>
          <w:b/>
          <w:i w:val="false"/>
          <w:color w:val="000000"/>
        </w:rPr>
        <w:t xml:space="preserve">Аутентичные тексты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 настоящего Протокола, английский, русский и французский тексты которого являются равно аутентичными, сдается на хранение Генеральному секретарю Организации Объединенных Наций. 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уполномоченные, подписали настоящий Протокол.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Киеве двадцать первого мая две тысячи третьего года. </w:t>
      </w:r>
    </w:p>
    <w:bookmarkEnd w:id="227"/>
    <w:bookmarkStart w:name="z23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</w:t>
      </w:r>
    </w:p>
    <w:bookmarkEnd w:id="228"/>
    <w:bookmarkStart w:name="z23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 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028"/>
        <w:gridCol w:w="5271"/>
        <w:gridCol w:w="1352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Пороговое значение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(колонка 1)</w:t>
            </w:r>
          </w:p>
          <w:bookmarkEnd w:id="23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численность работников (колонка 2)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Нефтеперерабатывающие и газоперерабатывающие заводы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газификации и сжижения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электростанции и другие установки для сжигания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подводимой тепловой мощностью 50 мегаватт (МВт)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Коксовые печи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Углеразмольные мельницы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мощностью 1 т в час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 углехимических продуктов и твердого бездымного топлива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и обработка 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обжига или агломерации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руд (включая сульфидную руду)</w:t>
            </w:r>
          </w:p>
          <w:bookmarkEnd w:id="231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работников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передельного чугуна или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(первичная или вторичная плавка),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непрерывную разливку </w:t>
            </w:r>
          </w:p>
          <w:bookmarkEnd w:id="232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т в час 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обработки черных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металлов: </w:t>
            </w:r>
          </w:p>
          <w:bookmarkEnd w:id="234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станы горячей прокатки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20 тсырой стали в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ii) кузнечные молоты </w:t>
            </w:r>
          </w:p>
          <w:bookmarkEnd w:id="235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которых составляет 50 килоджоулей на молот,а потребляемаятепловая мощность превышает 20МВт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iii) нанесение защитных распыленных металлических покрытий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подачей сырой стали 2 т в час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 для литья черных металлов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производственной мощностью 20 т в день </w:t>
            </w:r>
          </w:p>
          <w:bookmarkEnd w:id="23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для: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производства черновых цветных металлов из руды, концентратов или вторичных сырьевых материалов посредством металлургических, химических или электролитических процессов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ii) выплавки, включая легирование, цветных металлов, в том числе рекуперированных продуктов (рафинирование, литейное производство и т.д.)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плавильной мощностью 4 т в день для свинца и кадмия или 20 т в день для всех других металлов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поверхностной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емкостьобработки металлов и пластических материалов с использованием электролитических илихимических процессов используемых для обработки чанов составляет 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по переработке минерального сырья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Подземные горные работы и связанные с ними операции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добыча полезных ископаемых </w:t>
            </w:r>
          </w:p>
          <w:bookmarkEnd w:id="237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площадью поверхности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разрабатываемого участка 25 гектаров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производства: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цементного клинкера во вращающихся обжиговых печах </w:t>
            </w:r>
          </w:p>
          <w:bookmarkEnd w:id="239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500 т в день</w:t>
            </w:r>
          </w:p>
          <w:bookmarkEnd w:id="2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ii) извести во вращающихся обжиговых печах</w:t>
            </w:r>
          </w:p>
          <w:bookmarkEnd w:id="241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мощностью, превышающей 50 т в день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iii) цементного клинкера или извести в других печах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50 т в день</w:t>
            </w:r>
          </w:p>
          <w:bookmarkEnd w:id="2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 асбеста и изготовления асбестосодержащих продуктов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работников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производства стекла, включая стекловолокно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плавильной мощностью 20 т в день 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плавления минеральных веществ, включая производство минеральных волокон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плавильной мощностью 20 т в день</w:t>
            </w:r>
          </w:p>
          <w:bookmarkEnd w:id="2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 керамических продуктов путем обжига, в частности кровельной черепицы, кирпича, огнеупорного кирпича, керамической плитки, каменной керамики или фарфоровых изделий</w:t>
            </w:r>
          </w:p>
          <w:bookmarkEnd w:id="246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75 т в день,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объемом обжиговых печей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плотностью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садки на обжиговую печь 300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установки для производства в промышленном масштабе основных органических химических веществ, таких, как: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i) простые углеводороды (линейные или циклические, насыщенные или ненасыщенные, алифатические или ароматические);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ii) кислородсодержащие углеводороды, такие, как спирты, альдегиды, кетоны, карбоновые кислоты, сложные эфиры, ацетаты, простые эфиры, перекиси, эпоксидные смолы;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iii) сернистые углеводороды;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iv) азотные углеводороды, такие, как амины, амиды, соединения азота, нитросоединения или нитратные соединения, нитрилы, цианаты, изоцианаты;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v) фосфорсодержащие углеводороды;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vi) галогенизированные углеводороды; 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vii) органометаллические соединения;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viii) основные пластические материалы (полимеры, синтетические волокна и волокна на базе целлюлозы);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ix) синтетический каучук;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x) краски и пигменты;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xi) поверхностно-активные вещества;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установки для производства в промышленном масштабе основных неорганических химических веществ, таких, как: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газы, такие, как аммиак, хлор или хлористый водород, фтор или фтористый водород, оксиды углерода, соединения серы, оксиды азота, водород, диоксид серы, хлорокись углерода;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ii) кислоты, такие, как хромовая кислота, фтористоводородная кислота, фосфорная кислота, азотная кислота, хлористоводородная кислота, серная кислота, олеум, сернистая кислота;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iii) щелочи, такие, как гидроокись аммония, гидроокись калия, гидроокись натрия;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iv) соли, такие, как хлористый аммоний, хлорноватокислый калий, углекислый калий, углекислый натрий, перборат, азотнокислое серебро;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v) неметаллы, оксиды металлов или другие неорганические соединения, такие, как карбид кальция, кремний, карбид кремния;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установки для производства в промышленном масштабе фосфорных, азотных или калийных минеральных удобрений (простых или сложных удобрений);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установки для производства в промышленном масштабе основных продуктов для растениеводства и биоцидов;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на которых используются химические или биологические процессы для производства в промышленном масштабе основных фармацевтических продуктов;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 в промышленном масштабе взрывчатых веществ и пиротехнических продуктов.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отходами и сточными водами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сжигания, пиролиза, рекуперации, химической обработки или захоронения опасных отходов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которые поступает 10 т в день 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работников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сжигания коммунально-бытовых отходов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3 т в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удаления неопасных отходов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50 т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(исключая свалки инертных отходов)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которые поступает 10 т в день, или с общей емкостью 25 000 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удаления или рециркуляции туш домашних животных и отходов животноводства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перерабатывающей мощностью 10 т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установки для очистки сточных вод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производительностью, эквивалентной численности населения 100 000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эксплуатируемые промышленные установки для очистки сточных вод, обслуживающие один или более из перечисленных в данном приложении видов деятельности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производительностью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работников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и обработка бумаги и древесины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установки для производства целлюлозы из древесины или аналогичных волокнистых материалов;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установки для производства бумаги и картона и других первичных продуктов из древесины (таких, как картон, древесноволокнистые плиты и фанера)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20 т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установки для обработки химикатами древесины и изделий из древесины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день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Интенсивное животноводство и аквакультура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интенсивного выращивания птицы или свиней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40 000 мест для птицы;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ii) 2 000 мест для откормочных свиней (весом свыше 30 кг);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iii) 750 мест для свиноматок;</w:t>
            </w:r>
          </w:p>
          <w:bookmarkEnd w:id="249"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работников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Интенсивная аквакультура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 рыбы и моллюсков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 животноводства и растениеводства из сектора производства пищевых продуктов и напитков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Бойни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по переработке 50 т туш в день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переработка с целью производства пищевых продуктов и напитков из: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i) животного сырья (помимо молока)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мощностью по производству готовой продукции 75 т в день 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ii) растительного сырья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по производству 300 т готовой продукции в день (средний показатель на квартальной основе)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переработка молока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которых количество поступающего молока составляет 200 т в день (средний показатель на ежегодной основе)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 деятельности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предварительной обработки (такие операции, как промывка, отбеливание, мерсеризация) или окрашивания волокна или текстиля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 объем обрабатываемыхматериалов составляет 10 т в день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работников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дубления кож и шкур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 объем переработки составляет 12 т обработанных продуктов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поверхностной обработки веществ, предметов или продуктов с использованием органических растворителей, в частности для отделки, печати, покрытия, обезжиривания, гидроизолирования, калибровки, окраски, очистки или пропитки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150 кг в час или 200 т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производства углерода (естественного кокса) или электрографита путем сжигания или графитизации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строительства и окраски или удаления краски с судов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производственными возможностями для судов длиной 100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Пояснительные примечания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1 приведены пороговые значения производственной мощности, упомянутые в пункте 1(а) статьи 7. 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"*" означает, что пороговое значение производительности к этому виду деятельности не применяется (требование о представлении отчетности распространяется на все объекты).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2 приведены пороговые значения для численности работников, упомянутые в пункте 1(b) статьи 7. 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работников" означает эквивалент 10 работников, занятых полный рабочий день. 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II</w:t>
      </w:r>
      <w:r>
        <w:br/>
      </w:r>
      <w:r>
        <w:rPr>
          <w:rFonts w:ascii="Times New Roman"/>
          <w:b/>
          <w:i w:val="false"/>
          <w:color w:val="000000"/>
        </w:rPr>
        <w:t>ЗАГРЯЗНИТЕЛИ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533"/>
        <w:gridCol w:w="1887"/>
        <w:gridCol w:w="1636"/>
        <w:gridCol w:w="1833"/>
        <w:gridCol w:w="1833"/>
        <w:gridCol w:w="1834"/>
        <w:gridCol w:w="1245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выбросов (колонка 1)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переноса загрязнителей за пределы участка (колонка 2) кг/год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производства обработки или использования (колонка 3) кг/год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 (колонка 1 (а)) кг/год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воду (колонка 1(b) кг/год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землю (колонка 1(с)) кг/год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74-82-8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 (СО)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124-38-9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Гидрофторуглероды (ГФУ)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10024-97-2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7664-41-7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метановые летучие органические соединения (НМЛОС)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Перфторуглероды (ПФУ)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2551-62-4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Шестифтористая сера (SF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азота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фосфора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Гидрохлорфторуглероды (ГХФУ)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Хлорфторуглероды (ХФУ)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Галоны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виде As)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виде Cd)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виде Cr)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его соединения (в виде Cu)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его соединения (в виде Hg)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виде Ni)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его соединения (в виде Pb)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виде Zn)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15972-60-8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Алахлор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470-90-6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Хлорвенфинфос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85535-84-8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Хлоралканы,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2921-88-2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Эндосульфан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виде АОГ)</w:t>
            </w:r>
          </w:p>
          <w:bookmarkEnd w:id="256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Гексахлорбутадиен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(ГХБД)</w:t>
            </w:r>
          </w:p>
          <w:bookmarkEnd w:id="257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1,2,3,4,5,6-гексахлорцик-логексан (ГХГ)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ПХДД+ПХДФ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(диоксины+фураны)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виде э.т.)</w:t>
            </w:r>
          </w:p>
          <w:bookmarkEnd w:id="258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Полихлорированные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дифенилы (ПХД)</w:t>
            </w:r>
          </w:p>
          <w:bookmarkEnd w:id="259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127-18-4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(ТХЭ)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56-23-5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 (ТХМ)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(ТХБ)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71-55-6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79-34-5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1,1,2,2-тетрахлорэтан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79-01-6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Таксофен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дифениловые эфиры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(БДЭ)</w:t>
            </w:r>
          </w:p>
          <w:bookmarkEnd w:id="260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Нонилфенол этоксилаты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(НФ/НФЭ) и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вещества</w:t>
            </w:r>
          </w:p>
          <w:bookmarkEnd w:id="261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34123-59-6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Изопротурон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Органотиновые соединения (в видеобщего Sn)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Ди-(2-этилгексил)фталат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(ДЭГФ)</w:t>
            </w:r>
          </w:p>
          <w:bookmarkEnd w:id="262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(в виде общего C)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Полициклические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ароматические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(ПАУ)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</w:t>
            </w:r>
          </w:p>
          <w:bookmarkEnd w:id="263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Трибутилин и соединения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Трифенилтин и соединения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 (ООУ) (в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 или ХПК/3)</w:t>
            </w:r>
          </w:p>
          <w:bookmarkEnd w:id="264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(ввиде BTEX)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(в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Cl)</w:t>
            </w:r>
          </w:p>
          <w:bookmarkEnd w:id="265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и неорганические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(в виде HCl)</w:t>
            </w:r>
          </w:p>
          <w:bookmarkEnd w:id="266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(в виде общего CN)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(в виде общегоF)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неорганические соединения (в виде HF)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74-60-8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 (HCN)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частицы ТЧ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Пояснительные замечания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КАС загрязнителя означает точный идентификатор в КАС (Перечень химических соединений). 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1 приведены пороговые значения, упомянутые в пунктах 1(а)(i) и (iv) статьи 7. Если пороговое значение в данной подколонке (в воздух, воду или землю), превышается, то для тех Сторон, которые выбрали систему представления данных согласно пункту 1(а) статьи 7, требуется представление данных по соответствующему объекту о выбросах или, в случае загрязнителей, содержащихся в сточных водах, предназначенных для очистки сточных вод, о переносах в экологическую среду, упомянутую в этой подколонке. 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2 приведены пороговые значения, упомянутые в пункте 1(а)(ii) статьи 7. Если пороговое значение в этой колонке превышается для данного загрязнителя, то для тех Сторон, которые выбрали систему представления данных согласно пункту 1(а)(ii) статьи 7, требуется представление данных по соответствующему объекту о переносе этого загрязнителя за пределы участка. 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3 приведены пороговые значения, упомянутые в пункте 1(b) статьи 7. Если пороговые значения в этой колонке превышаются для данного загрязнителя, то для тех Сторон, которые выбрали систему представления данных согласно пункту 1(b) статьи 7, требуется представление данных по соответствующему объекту о выбросах и переносах за пределы участка этого загрязнителя. 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"–" указывает на то, что данный параметр не задействует требования о представлении данных. 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"*" указывает на то, что для данного загрязнителя необходимо использовать пороговое значение выбросов, указанное в колонке 1 а), а не пороговое значения для производства, обработки или использования. 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"**" указывает на то, что для данного загрязнителя необходимо использовать пороговое значение выбросов, указанное в колонке 1 b), а не пороговое значение для производства, обработки или использования.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Сноски 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Отдельные загрязнители, по которым должны представляться данные в случае превышения порогового значения для ВТЕХ (суммарный параметр для бензола, толуола, этилбензолов и ксиленов). 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Полициклические ароматические углеводороды (ПАУ) измеряются как бензо(а)пирен(50-32-8), бензо(в)флуорантен(205-99-2), бензо(к)флуорантен(207-08-9), идено(1,2,3-cd)пирен (193-39-5) (взято из Протокола по стойким органическим загрязнителям к Конвенции о трансграничном загрязнении воздуха на большие расстояния). 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В виде неорганических соединений. </w:t>
      </w:r>
    </w:p>
    <w:bookmarkEnd w:id="278"/>
    <w:bookmarkStart w:name="z29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III</w:t>
      </w:r>
      <w:r>
        <w:br/>
      </w:r>
      <w:r>
        <w:rPr>
          <w:rFonts w:ascii="Times New Roman"/>
          <w:b/>
          <w:i w:val="false"/>
          <w:color w:val="000000"/>
        </w:rPr>
        <w:t xml:space="preserve">ЧАСТЬ А </w:t>
      </w:r>
      <w:r>
        <w:br/>
      </w:r>
      <w:r>
        <w:rPr>
          <w:rFonts w:ascii="Times New Roman"/>
          <w:b/>
          <w:i w:val="false"/>
          <w:color w:val="000000"/>
        </w:rPr>
        <w:t xml:space="preserve">ОПЕРАЦИИ ПО УДАЛЕНИЮ ("У") 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-Захоронение в земле или сброс на землю (например, на свалку).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-Обработка земли (например, биохимическое разложение жидких или шламовых отходов в почве и т.д.). 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-Закачка на большую глубину (например, закачка отходов соответствующей консистенции в скважины, соляные купола или естественные резервуары). 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-Сброс в поверхностные резервуары (например, сброс жидких или шламовых отходов в котлованы, пруды или отстойные бассейны). 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-Сброс на специально оборудованные свалки (например, сброс в отдельные отсеки с защитным покрытием, закрывающиеся крышкой и изолированные друг от друга и окружающей среды). 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-Сброс в водоемы, кроме морей/океанов. 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-Сброс в моря/океаны, в том числе захоронение на морском дне. 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-Биологическая обработка, не оговоренная в других разделах настоящего приложения, которая ведет к образованию конечных соединений или смесей, которые затем удаляются каким–либо из способов, оговоренных в настоящем разделе. 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-Физико-химическая обработка, не оговоренная в других разделах настоящего приложения, которая ведет к образованию конечных соединений или смесей, которые затем удаляются каким–либо из способов, оговоренных в настоящем разделе (например, выпаривание, сушка, прокаливание, нейтрализация, осаждение). 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-Сжигание на суше. 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-Сжигание в море. 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-Захоронение (например, размещение контейнеров в шахте). 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-Получение однородной или неоднородной смеси до начала любой из операций, указанных в настоящем разделе. 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-Переупаковка до начала любой из операций, указанных в настоящем разделе. 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-Хранение в ожидании любой из операций, указанных в настоящем разделе. </w:t>
      </w:r>
    </w:p>
    <w:bookmarkEnd w:id="294"/>
    <w:bookmarkStart w:name="z31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   </w:t>
      </w:r>
      <w:r>
        <w:br/>
      </w:r>
      <w:r>
        <w:rPr>
          <w:rFonts w:ascii="Times New Roman"/>
          <w:b/>
          <w:i w:val="false"/>
          <w:color w:val="000000"/>
        </w:rPr>
        <w:t xml:space="preserve">ОПЕРАЦИИ ПО РЕКУПЕРАЦИИ ("Р")   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-Использование в виде топлива (кроме прямого сжигания) или иным образом для получения энергии. 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-Утилизация/восстановление растворителей. 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-Рециркуляция/утилизация органических веществ, не используемых в виде растворителей. 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-Рециркуляция/утилизация металлов и их соединений. 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-Рециркуляция/утилизация других неорганических материалов. 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-Восстановление кислот или оснований. 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-Рекуперация компонентов, используемых для борьбы с загрязнением. 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-Рекуперация компонентов катализаторов. 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-Повторная перегонка использованных нефтепродуктов или иное повторное применение ранее использованных нефтепродуктов. 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-Обработка земель, благотворно сказывающаяся на земледелии или улучшающая экологическую обстановку. 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-Использование остаточных материалов от любых операций по рекуперации, указанных в настоящем разделе. 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-Обмен отходами для их задействования в операциях по рекуперации, указанных в настоящем разделе. 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-Аккумулирование материала, предназначенного для последующего задействования в любой операции, указанной в настоящем разделе. </w:t>
      </w:r>
    </w:p>
    <w:bookmarkEnd w:id="308"/>
    <w:bookmarkStart w:name="z32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IV   </w:t>
      </w:r>
      <w:r>
        <w:br/>
      </w:r>
      <w:r>
        <w:rPr>
          <w:rFonts w:ascii="Times New Roman"/>
          <w:b/>
          <w:i w:val="false"/>
          <w:color w:val="000000"/>
        </w:rPr>
        <w:t xml:space="preserve">АРБИТРАЖ   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передачи спора на арбитражное разбирательство согласно пункту 2 статьи 23 настоящего Протокола сторона или стороны уведомляют по дипломатическим каналам другую сторону или другие стороны спора, а также секретариат о предмете арбитражного разбирательства и указывают, в частности, статьи настоящего Протокола, относительно толкования или применения которых возник спор. Секретариат препровождает полученную информацию всем Сторонам настоящего Протокола. 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Арбитражный суд состоит из трех членов. Как сторона-истец или стороны-истцы, так и другая сторона или другие стороны спора назначают по одному арбитру, и два назначенных таким образом арбитра по взаимному согласию назначают третьего арбитра, выполняющего функции председателя арбитражного суда. Последний не может быть гражданином одной из сторон спора и не может иметь свое обычное место жительства на территории одной из этих сторон, не может находиться у них на службе или в каком-либо ином качестве иметь отношения к этому делу. 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по истечении двух месяцев после назначения второго арбитра не назначен председатель арбитражного суда, то по просьбе любой из сторон спора Исполнительный секретарь Европейской экономической комиссии назначает его в течение последующих двух месяцев. 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одна из сторон спора не назначает арбитра в течение двух месяцев после получения уведомления, упомянутого в пункте 1, то другая сторона может информировать об этом Исполнительного секретаря Европейской экономической комиссии, который назначает председателя арбитражного суда в течение последующих двух месяцев. После своего назначения председатель арбитражного суда просит сторону, которая еще не назначила арбитра, сделать это в течение двух месяцев. Если она не сделает этого в течение такого срока, то председатель информирует об этом Исполнительного секретаря Европейской экономической комиссии, который производит такое назначение в течение последующих двух месяцев. 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Арбитражный суд выносит свое решение в соответствии с международным правом и положениями настоящего Протокола. 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Любой арбитражный суд, учреждаемый в соответствии с положениями настоящего приложения, разрабатывает свои собственные правила процедуры. 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арбитражного суда как по процедурным вопросам, так и по вопросам существа принимаются большинством голосов его членов. 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 может принимать все надлежащие меры для установления фактов. 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спора оказывают содействие работе арбитражного суда и, в частности, используя для этого все имеющиеся в их распоряжении средства: 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предоставляют ему все соответствующие документы, условия и информацию; 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при необходимости предоставляют ему возможность вызывать свидетелей или экспертов и заслушивать их показания. 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спора и члены арбитражного суда соблюдают конфиденциальность любой информации, получаемой ими в конфиденциальном порядке в ходе разбирательства в арбитражном суде. 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Арбитражный суд может по просьбе одной из сторон рекомендовать принятие временных мер защиты. 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одна из сторон спора не является в арбитражный суд или не участвует в разбирательстве своего дела, другая сторона может просить суд продолжить разбирательство и вынести свое окончательное решение. Отсутствие одной из сторон в суде или неучастие одной из сторон в разбирательстве по делу не является препятствием для разбирательства. До вынесения своего окончательного решения арбитражный суд должен убедиться в том, что иск является фактически и юридически обоснованным. 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Арбитражный суд может заслушивать встречные иски, возникающие непосредственно из существа спора, и выносить по ним решения. 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только арбитражный суд не примет иного решения, исходя из конкретных обстоятельств дела, судебные издержки, включая оплату услуг членов суда, покрываются сторонами спора поровну. Суд регистрирует все свои расходы и предоставляет сторонам спора окончательный отчет об этих расходах. 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Любая Сторона настоящего Протокола, которая имеет к предмету спора интерес правового характера и может быть затронута решением по данному делу, может принимать участие в разбирательстве с согласия суда. 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Арбитражный суд выносит свое решение в течение пяти месяцев с даты своего учреждения, если только он не сочтет необходимым продлить этот срок на период, не превышающий пяти месяцев. 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арбитражного суда сопровождается изложением причин. Это решение является окончательным и обязательным для всех сторон спора. Арбитражный суд направляет свое решение сторонам спора и секретариату. Секретариат препровождает полученную информацию всем Сторонам настоящего Протокола. 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Любой спор, который может возникнуть между сторонами относительно толкования или выполнения решения суда, может быть передан любой из сторон в арбитражный суд, который вынес это решение, или — при невозможности воспользоваться услугами последнего — в другой суд, создаваемый с этой целью таким же образом, как и первый. 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Далее прилагается текст Протокола на французском и английском языках.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