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d2f4" w14:textId="7e8d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5 февраля 2016 года № 451-V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 совершенное в Астане 20 июля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i w:val="false"/>
          <w:color w:val="000000"/>
          <w:sz w:val="28"/>
        </w:rPr>
        <w:t>ЗАЕМ № 8490-KZ</w:t>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 о займе (Проект по развитию трудовых навыков и стимулированию</w:t>
      </w:r>
      <w:r>
        <w:br/>
      </w:r>
      <w:r>
        <w:rPr>
          <w:rFonts w:ascii="Times New Roman"/>
          <w:b/>
          <w:i w:val="false"/>
          <w:color w:val="000000"/>
        </w:rPr>
        <w:t>
рабочих мест)</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w:t>
      </w:r>
      <w:r>
        <w:br/>
      </w:r>
      <w:r>
        <w:rPr>
          <w:rFonts w:ascii="Times New Roman"/>
          <w:b/>
          <w:i w:val="false"/>
          <w:color w:val="000000"/>
        </w:rPr>
        <w:t>
РЕКОНСТРУКЦИИ И РАЗВИТИЯ</w:t>
      </w:r>
      <w:r>
        <w:br/>
      </w:r>
      <w:r>
        <w:rPr>
          <w:rFonts w:ascii="Times New Roman"/>
          <w:b/>
          <w:i w:val="false"/>
          <w:color w:val="000000"/>
        </w:rPr>
        <w:t>
от 20 июля 2015 года</w:t>
      </w:r>
    </w:p>
    <w:bookmarkStart w:name="z85" w:id="0"/>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по развитию трудовых навыков и стимулированию рабочих</w:t>
      </w:r>
      <w:r>
        <w:br/>
      </w:r>
      <w:r>
        <w:rPr>
          <w:rFonts w:ascii="Times New Roman"/>
          <w:b/>
          <w:i w:val="false"/>
          <w:color w:val="000000"/>
        </w:rPr>
        <w:t xml:space="preserve">
мест) между Республикой Казахстан и </w:t>
      </w:r>
      <w:r>
        <w:br/>
      </w:r>
      <w:r>
        <w:rPr>
          <w:rFonts w:ascii="Times New Roman"/>
          <w:b/>
          <w:i w:val="false"/>
          <w:color w:val="000000"/>
        </w:rPr>
        <w:t>
Международным Банком Реконструкции и Развития</w:t>
      </w:r>
    </w:p>
    <w:bookmarkEnd w:id="0"/>
    <w:p>
      <w:pPr>
        <w:spacing w:after="0"/>
        <w:ind w:left="0"/>
        <w:jc w:val="both"/>
      </w:pPr>
      <w:r>
        <w:rPr>
          <w:rFonts w:ascii="Times New Roman"/>
          <w:b w:val="false"/>
          <w:i w:val="false"/>
          <w:color w:val="000000"/>
          <w:sz w:val="28"/>
        </w:rPr>
        <w:t>      Соглашение от 20 июля 2015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1" w:id="1"/>
    <w:p>
      <w:pPr>
        <w:spacing w:after="0"/>
        <w:ind w:left="0"/>
        <w:jc w:val="left"/>
      </w:pPr>
      <w:r>
        <w:rPr>
          <w:rFonts w:ascii="Times New Roman"/>
          <w:b/>
          <w:i w:val="false"/>
          <w:color w:val="000000"/>
        </w:rPr>
        <w:t xml:space="preserve"> 
СТАТЬЯ I — ОБЩИЕ УСЛОВИЯ; ОПРЕДЕЛЕНИЯ</w:t>
      </w:r>
    </w:p>
    <w:bookmarkEnd w:id="1"/>
    <w:bookmarkStart w:name="z101" w:id="2"/>
    <w:p>
      <w:pPr>
        <w:spacing w:after="0"/>
        <w:ind w:left="0"/>
        <w:jc w:val="both"/>
      </w:pPr>
      <w:r>
        <w:rPr>
          <w:rFonts w:ascii="Times New Roman"/>
          <w:b w:val="false"/>
          <w:i w:val="false"/>
          <w:color w:val="000000"/>
          <w:sz w:val="28"/>
        </w:rPr>
        <w:t>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закрепленные за ними в Общих Условиях или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2"/>
    <w:bookmarkStart w:name="z2" w:id="3"/>
    <w:p>
      <w:pPr>
        <w:spacing w:after="0"/>
        <w:ind w:left="0"/>
        <w:jc w:val="left"/>
      </w:pPr>
      <w:r>
        <w:rPr>
          <w:rFonts w:ascii="Times New Roman"/>
          <w:b/>
          <w:i w:val="false"/>
          <w:color w:val="000000"/>
        </w:rPr>
        <w:t xml:space="preserve"> 
СТАТЬЯ II - ЗАЕМ </w:t>
      </w:r>
    </w:p>
    <w:bookmarkEnd w:id="3"/>
    <w:bookmarkStart w:name="z201" w:id="4"/>
    <w:p>
      <w:pPr>
        <w:spacing w:after="0"/>
        <w:ind w:left="0"/>
        <w:jc w:val="both"/>
      </w:pPr>
      <w:r>
        <w:rPr>
          <w:rFonts w:ascii="Times New Roman"/>
          <w:b w:val="false"/>
          <w:i w:val="false"/>
          <w:color w:val="000000"/>
          <w:sz w:val="28"/>
        </w:rPr>
        <w:t>
      2.01. Банк соглашается предоставить Заемщику сумму, равную ста миллионам долларов США (100000000 долларов США),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дней после даты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годовых от неснятого остатка Займа. </w:t>
      </w:r>
      <w:r>
        <w:br/>
      </w:r>
      <w:r>
        <w:rPr>
          <w:rFonts w:ascii="Times New Roman"/>
          <w:b w:val="false"/>
          <w:i w:val="false"/>
          <w:color w:val="000000"/>
          <w:sz w:val="28"/>
        </w:rPr>
        <w:t>
</w:t>
      </w: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w:t>
      </w:r>
      <w:r>
        <w:rPr>
          <w:rFonts w:ascii="Times New Roman"/>
          <w:b w:val="false"/>
          <w:i w:val="false"/>
          <w:color w:val="000000"/>
          <w:sz w:val="28"/>
        </w:rPr>
        <w:t>
      2.06. Датами платежей являются 15 марта и 15 сентября каждого года.</w:t>
      </w:r>
      <w:r>
        <w:br/>
      </w:r>
      <w:r>
        <w:rPr>
          <w:rFonts w:ascii="Times New Roman"/>
          <w:b w:val="false"/>
          <w:i w:val="false"/>
          <w:color w:val="000000"/>
          <w:sz w:val="28"/>
        </w:rPr>
        <w:t>
</w:t>
      </w:r>
      <w:r>
        <w:rPr>
          <w:rFonts w:ascii="Times New Roman"/>
          <w:b w:val="false"/>
          <w:i w:val="false"/>
          <w:color w:val="000000"/>
          <w:sz w:val="28"/>
        </w:rPr>
        <w:t>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2.08. (a) Заемщик может в любое время запросить произвести любую из следующих конверсий условий Займа с тем, чтобы обеспечить рациональное управление долгом:</w:t>
      </w:r>
      <w:r>
        <w:br/>
      </w: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r>
        <w:br/>
      </w:r>
      <w:r>
        <w:rPr>
          <w:rFonts w:ascii="Times New Roman"/>
          <w:b w:val="false"/>
          <w:i w:val="false"/>
          <w:color w:val="000000"/>
          <w:sz w:val="28"/>
        </w:rPr>
        <w:t xml:space="preserve">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 </w:t>
      </w:r>
    </w:p>
    <w:bookmarkEnd w:id="4"/>
    <w:bookmarkStart w:name="z3" w:id="5"/>
    <w:p>
      <w:pPr>
        <w:spacing w:after="0"/>
        <w:ind w:left="0"/>
        <w:jc w:val="left"/>
      </w:pPr>
      <w:r>
        <w:rPr>
          <w:rFonts w:ascii="Times New Roman"/>
          <w:b/>
          <w:i w:val="false"/>
          <w:color w:val="000000"/>
        </w:rPr>
        <w:t xml:space="preserve"> 
СТАТЬЯ III — ПРОЕКТ</w:t>
      </w:r>
    </w:p>
    <w:bookmarkEnd w:id="5"/>
    <w:bookmarkStart w:name="z301" w:id="6"/>
    <w:p>
      <w:pPr>
        <w:spacing w:after="0"/>
        <w:ind w:left="0"/>
        <w:jc w:val="both"/>
      </w:pPr>
      <w:r>
        <w:rPr>
          <w:rFonts w:ascii="Times New Roman"/>
          <w:b w:val="false"/>
          <w:i w:val="false"/>
          <w:color w:val="000000"/>
          <w:sz w:val="28"/>
        </w:rPr>
        <w:t xml:space="preserve">
      3.01. Заемщик заявляет о своей приверженности целям Проекта. С этой целью Заемщик реализует Проект через Министерство здравоохранения и социального развития (МЗСР) в соответствии с положениями статьи V Общих Условий. </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  </w:t>
      </w:r>
    </w:p>
    <w:bookmarkEnd w:id="6"/>
    <w:bookmarkStart w:name="z4" w:id="7"/>
    <w:p>
      <w:pPr>
        <w:spacing w:after="0"/>
        <w:ind w:left="0"/>
        <w:jc w:val="left"/>
      </w:pPr>
      <w:r>
        <w:rPr>
          <w:rFonts w:ascii="Times New Roman"/>
          <w:b/>
          <w:i w:val="false"/>
          <w:color w:val="000000"/>
        </w:rPr>
        <w:t xml:space="preserve"> 
СТАТЬЯ IV - ВСТУПЛЕНИЕ В СИЛУ; ПРЕКРАЩЕНИЕ ДЕЙСТВИЯ</w:t>
      </w:r>
    </w:p>
    <w:bookmarkEnd w:id="7"/>
    <w:bookmarkStart w:name="z401" w:id="8"/>
    <w:p>
      <w:pPr>
        <w:spacing w:after="0"/>
        <w:ind w:left="0"/>
        <w:jc w:val="both"/>
      </w:pPr>
      <w:r>
        <w:rPr>
          <w:rFonts w:ascii="Times New Roman"/>
          <w:b w:val="false"/>
          <w:i w:val="false"/>
          <w:color w:val="000000"/>
          <w:sz w:val="28"/>
        </w:rPr>
        <w:t>
      4.01. Дополнительными условиями вступления Соглашения в силу являются следующие:</w:t>
      </w:r>
      <w:r>
        <w:br/>
      </w:r>
      <w:r>
        <w:rPr>
          <w:rFonts w:ascii="Times New Roman"/>
          <w:b w:val="false"/>
          <w:i w:val="false"/>
          <w:color w:val="000000"/>
          <w:sz w:val="28"/>
        </w:rPr>
        <w:t>
      (a) Операционное руководство по Проекту, удовлетворительное для Банка, принято Заемщиком через МЗСР.</w:t>
      </w:r>
      <w:r>
        <w:br/>
      </w:r>
      <w:r>
        <w:rPr>
          <w:rFonts w:ascii="Times New Roman"/>
          <w:b w:val="false"/>
          <w:i w:val="false"/>
          <w:color w:val="000000"/>
          <w:sz w:val="28"/>
        </w:rPr>
        <w:t>
      (b) Заемщик через МЗСР издаст приказ о создании ГУП, как указано в </w:t>
      </w:r>
      <w:r>
        <w:rPr>
          <w:rFonts w:ascii="Times New Roman"/>
          <w:b w:val="false"/>
          <w:i w:val="false"/>
          <w:color w:val="000000"/>
          <w:sz w:val="28"/>
        </w:rPr>
        <w:t>разделе I.A.3.</w:t>
      </w:r>
      <w:r>
        <w:rPr>
          <w:rFonts w:ascii="Times New Roman"/>
          <w:b w:val="false"/>
          <w:i w:val="false"/>
          <w:color w:val="000000"/>
          <w:sz w:val="28"/>
        </w:rPr>
        <w:t xml:space="preserve">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w:t>
      </w:r>
    </w:p>
    <w:bookmarkEnd w:id="8"/>
    <w:bookmarkStart w:name="z5" w:id="9"/>
    <w:p>
      <w:pPr>
        <w:spacing w:after="0"/>
        <w:ind w:left="0"/>
        <w:jc w:val="left"/>
      </w:pPr>
      <w:r>
        <w:rPr>
          <w:rFonts w:ascii="Times New Roman"/>
          <w:b/>
          <w:i w:val="false"/>
          <w:color w:val="000000"/>
        </w:rPr>
        <w:t xml:space="preserve"> 
СТАТЬЯ V - ПРЕДСТАВИТЕЛЬ; АДРЕСА </w:t>
      </w:r>
    </w:p>
    <w:bookmarkEnd w:id="9"/>
    <w:bookmarkStart w:name="z501" w:id="10"/>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5.02. Адрес Заемщика:</w:t>
      </w:r>
    </w:p>
    <w:bookmarkEnd w:id="10"/>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bookmarkStart w:name="z503" w:id="11"/>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r>
        <w:br/>
      </w:r>
      <w:r>
        <w:rPr>
          <w:rFonts w:ascii="Times New Roman"/>
          <w:b w:val="false"/>
          <w:i w:val="false"/>
          <w:color w:val="000000"/>
          <w:sz w:val="28"/>
        </w:rPr>
        <w:t>
      Телеграфный адрес:         Телекс:               Факс:</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bookmarkEnd w:id="11"/>
    <w:p>
      <w:pPr>
        <w:spacing w:after="0"/>
        <w:ind w:left="0"/>
        <w:jc w:val="both"/>
      </w:pPr>
      <w:r>
        <w:rPr>
          <w:rFonts w:ascii="Times New Roman"/>
          <w:b w:val="false"/>
          <w:i w:val="false"/>
          <w:color w:val="000000"/>
          <w:sz w:val="28"/>
        </w:rPr>
        <w:t>      СОГЛАСОВАНО ________________, __________, в день и год, указанные выше. </w:t>
      </w:r>
    </w:p>
    <w:p>
      <w:pPr>
        <w:spacing w:after="0"/>
        <w:ind w:left="0"/>
        <w:jc w:val="both"/>
      </w:pPr>
      <w:r>
        <w:rPr>
          <w:rFonts w:ascii="Times New Roman"/>
          <w:b w:val="false"/>
          <w:i w:val="false"/>
          <w:color w:val="000000"/>
          <w:sz w:val="28"/>
        </w:rPr>
        <w:t>ЗА РЕСПУБЛИКУ КАЗАХСТАН</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___________________________</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w:t>
      </w:r>
    </w:p>
    <w:bookmarkStart w:name="z6" w:id="12"/>
    <w:p>
      <w:pPr>
        <w:spacing w:after="0"/>
        <w:ind w:left="0"/>
        <w:jc w:val="left"/>
      </w:pPr>
      <w:r>
        <w:rPr>
          <w:rFonts w:ascii="Times New Roman"/>
          <w:b/>
          <w:i w:val="false"/>
          <w:color w:val="000000"/>
        </w:rPr>
        <w:t xml:space="preserve"> 
ДОПОЛНЕНИЕ 1</w:t>
      </w:r>
    </w:p>
    <w:bookmarkEnd w:id="12"/>
    <w:bookmarkStart w:name="z7" w:id="13"/>
    <w:p>
      <w:pPr>
        <w:spacing w:after="0"/>
        <w:ind w:left="0"/>
        <w:jc w:val="left"/>
      </w:pPr>
      <w:r>
        <w:rPr>
          <w:rFonts w:ascii="Times New Roman"/>
          <w:b/>
          <w:i w:val="false"/>
          <w:color w:val="000000"/>
        </w:rPr>
        <w:t xml:space="preserve"> 
Описание Проекта </w:t>
      </w:r>
    </w:p>
    <w:bookmarkEnd w:id="13"/>
    <w:p>
      <w:pPr>
        <w:spacing w:after="0"/>
        <w:ind w:left="0"/>
        <w:jc w:val="both"/>
      </w:pPr>
      <w:r>
        <w:rPr>
          <w:rFonts w:ascii="Times New Roman"/>
          <w:b w:val="false"/>
          <w:i w:val="false"/>
          <w:color w:val="000000"/>
          <w:sz w:val="28"/>
        </w:rPr>
        <w:t>      Цель проекта заключается в улучшении результатов в области занятости и трудовых навыков целевых бенефициаров и повышении актуальности технического и профессионального образования, обучения и программ высшего образования.</w:t>
      </w:r>
      <w:r>
        <w:br/>
      </w:r>
      <w:r>
        <w:rPr>
          <w:rFonts w:ascii="Times New Roman"/>
          <w:b w:val="false"/>
          <w:i w:val="false"/>
          <w:color w:val="000000"/>
          <w:sz w:val="28"/>
        </w:rPr>
        <w:t>
      Проект состоит из следующих частей:</w:t>
      </w:r>
    </w:p>
    <w:bookmarkStart w:name="z8"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 Формирование основы для Национальной системы квалификаций</w:t>
      </w:r>
    </w:p>
    <w:bookmarkEnd w:id="14"/>
    <w:p>
      <w:pPr>
        <w:spacing w:after="0"/>
        <w:ind w:left="0"/>
        <w:jc w:val="both"/>
      </w:pPr>
      <w:r>
        <w:rPr>
          <w:rFonts w:ascii="Times New Roman"/>
          <w:b w:val="false"/>
          <w:i w:val="false"/>
          <w:color w:val="000000"/>
          <w:sz w:val="28"/>
        </w:rPr>
        <w:t>      Усиление институционального потенциала Заемщика для повышения актуальности технического и профессионального образования и обучения, высшего образования, а также повышения квалификации без отрыва от производства посредством следующих мероприятий:</w:t>
      </w:r>
      <w:r>
        <w:br/>
      </w:r>
      <w:r>
        <w:rPr>
          <w:rFonts w:ascii="Times New Roman"/>
          <w:b w:val="false"/>
          <w:i w:val="false"/>
          <w:color w:val="000000"/>
          <w:sz w:val="28"/>
        </w:rPr>
        <w:t xml:space="preserve">
      (a) совершенствование профессиональных стандартов, в том числе процессов их обновления и согласования; </w:t>
      </w:r>
      <w:r>
        <w:br/>
      </w:r>
      <w:r>
        <w:rPr>
          <w:rFonts w:ascii="Times New Roman"/>
          <w:b w:val="false"/>
          <w:i w:val="false"/>
          <w:color w:val="000000"/>
          <w:sz w:val="28"/>
        </w:rPr>
        <w:t xml:space="preserve">
      (b) разработка и реализация системы обзора и обновления образовательных и обучающих стандартов и программ технического и профессионального образования, обучения и высшего образования; и </w:t>
      </w:r>
      <w:r>
        <w:br/>
      </w:r>
      <w:r>
        <w:rPr>
          <w:rFonts w:ascii="Times New Roman"/>
          <w:b w:val="false"/>
          <w:i w:val="false"/>
          <w:color w:val="000000"/>
          <w:sz w:val="28"/>
        </w:rPr>
        <w:t>
      (c) разработка дорожной карты по созданию независимой системы оценки и присвоения квалификаций через оказание технической поддержки пилотным отраслевым центрам тестирования и профессиональной сертификации.</w:t>
      </w:r>
    </w:p>
    <w:bookmarkStart w:name="z9"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 Усовершенствование навыков для повышения результатов в области занятости и производительности</w:t>
      </w:r>
    </w:p>
    <w:bookmarkEnd w:id="15"/>
    <w:p>
      <w:pPr>
        <w:spacing w:after="0"/>
        <w:ind w:left="0"/>
        <w:jc w:val="both"/>
      </w:pPr>
      <w:r>
        <w:rPr>
          <w:rFonts w:ascii="Times New Roman"/>
          <w:b w:val="false"/>
          <w:i w:val="false"/>
          <w:color w:val="000000"/>
          <w:sz w:val="28"/>
        </w:rPr>
        <w:t>      Предоставление востребованного обучения для безработных, непродуктивно самозанятых лиц и трудоустроенных лиц, нуждающихся в обучении, которые будут определены и отобраны согласно критериям, указанным в ОРП, посредством следующих мероприятий:</w:t>
      </w:r>
      <w:r>
        <w:br/>
      </w:r>
      <w:r>
        <w:rPr>
          <w:rFonts w:ascii="Times New Roman"/>
          <w:b w:val="false"/>
          <w:i w:val="false"/>
          <w:color w:val="000000"/>
          <w:sz w:val="28"/>
        </w:rPr>
        <w:t>
      (a) Усовершенствование государственных услуг по трудоустройству для безработных и непродуктивно самозанятых лиц путем:</w:t>
      </w:r>
      <w:r>
        <w:br/>
      </w:r>
      <w:r>
        <w:rPr>
          <w:rFonts w:ascii="Times New Roman"/>
          <w:b w:val="false"/>
          <w:i w:val="false"/>
          <w:color w:val="000000"/>
          <w:sz w:val="28"/>
        </w:rPr>
        <w:t>
      i. разработки и реализации плана мероприятий по улучшению и расширению государственных услуг по трудоустройству через центры или отделы занятости на основе оценки уже существующих возможностей, осуществляемой в соответствии с ОРП; и</w:t>
      </w:r>
      <w:r>
        <w:br/>
      </w:r>
      <w:r>
        <w:rPr>
          <w:rFonts w:ascii="Times New Roman"/>
          <w:b w:val="false"/>
          <w:i w:val="false"/>
          <w:color w:val="000000"/>
          <w:sz w:val="28"/>
        </w:rPr>
        <w:t>
      ii. повышения потенциала центров и отделов занятости для оказания лучшей поддержки пользователям посредством (А) внедрения инструмента профилирования, (В) укрепления существующей информационной системы рынка труда Заемщика в целях повышения качества информации, доступной для сотрудников центров и отделов занятости, а также (С) обучения сотрудников для применения более активного подхода к предоставлению государственных услуг по трудоустройству.</w:t>
      </w:r>
      <w:r>
        <w:br/>
      </w:r>
      <w:r>
        <w:rPr>
          <w:rFonts w:ascii="Times New Roman"/>
          <w:b w:val="false"/>
          <w:i w:val="false"/>
          <w:color w:val="000000"/>
          <w:sz w:val="28"/>
        </w:rPr>
        <w:t>
      (b) Повышение актуальности обучения рабочей силы через:</w:t>
      </w:r>
      <w:r>
        <w:br/>
      </w:r>
      <w:r>
        <w:rPr>
          <w:rFonts w:ascii="Times New Roman"/>
          <w:b w:val="false"/>
          <w:i w:val="false"/>
          <w:color w:val="000000"/>
          <w:sz w:val="28"/>
        </w:rPr>
        <w:t xml:space="preserve">
      i. обзор нормативно-правовой базы, касающейся предоставления услуг обучения; </w:t>
      </w:r>
      <w:r>
        <w:br/>
      </w:r>
      <w:r>
        <w:rPr>
          <w:rFonts w:ascii="Times New Roman"/>
          <w:b w:val="false"/>
          <w:i w:val="false"/>
          <w:color w:val="000000"/>
          <w:sz w:val="28"/>
        </w:rPr>
        <w:t>
      ii. расширение базы поставщиков услуг обучения;</w:t>
      </w:r>
      <w:r>
        <w:br/>
      </w:r>
      <w:r>
        <w:rPr>
          <w:rFonts w:ascii="Times New Roman"/>
          <w:b w:val="false"/>
          <w:i w:val="false"/>
          <w:color w:val="000000"/>
          <w:sz w:val="28"/>
        </w:rPr>
        <w:t>
      iii. оценка актуальности обучения и на основе данной оценки составление перечня поставщиков услуг обучения, прошедших предварительную квалификацию, имеющих право на проведение обучения в рамках Части 2 (с) ниже;</w:t>
      </w:r>
      <w:r>
        <w:br/>
      </w:r>
      <w:r>
        <w:rPr>
          <w:rFonts w:ascii="Times New Roman"/>
          <w:b w:val="false"/>
          <w:i w:val="false"/>
          <w:color w:val="000000"/>
          <w:sz w:val="28"/>
        </w:rPr>
        <w:t>
      iv. оказание необходимой поддержки отобранным поставщикам услуг обучения для повышения актуальности предоставления услуг обучения, включая проведение обучения, предоставленного в рамках части 2 (с) ниже.</w:t>
      </w:r>
      <w:r>
        <w:br/>
      </w:r>
      <w:r>
        <w:rPr>
          <w:rFonts w:ascii="Times New Roman"/>
          <w:b w:val="false"/>
          <w:i w:val="false"/>
          <w:color w:val="000000"/>
          <w:sz w:val="28"/>
        </w:rPr>
        <w:t xml:space="preserve">
      (c) Создание и реализация программы обучения по повышению уровня навыков, состоящей из предоставления обучения а) безработным и непродуктивно самозанятым лицам; и b) трудоустроенным сотрудникам, нуждающимся в обучении, в соответствии с критериями, изложенными в ОРП. </w:t>
      </w:r>
    </w:p>
    <w:bookmarkStart w:name="z10"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 Управление проектом, мониторинг и оценка</w:t>
      </w:r>
    </w:p>
    <w:bookmarkEnd w:id="16"/>
    <w:p>
      <w:pPr>
        <w:spacing w:after="0"/>
        <w:ind w:left="0"/>
        <w:jc w:val="both"/>
      </w:pPr>
      <w:r>
        <w:rPr>
          <w:rFonts w:ascii="Times New Roman"/>
          <w:b w:val="false"/>
          <w:i w:val="false"/>
          <w:color w:val="000000"/>
          <w:sz w:val="28"/>
        </w:rPr>
        <w:t xml:space="preserve">      (a) Поддержка в управлении Проектом, мероприятиях по мониторингу и оценке и покрытии операционных расходов. </w:t>
      </w:r>
      <w:r>
        <w:br/>
      </w:r>
      <w:r>
        <w:rPr>
          <w:rFonts w:ascii="Times New Roman"/>
          <w:b w:val="false"/>
          <w:i w:val="false"/>
          <w:color w:val="000000"/>
          <w:sz w:val="28"/>
        </w:rPr>
        <w:t>
      (b) Разработка и реализация информационно-разъяснительной кампании по проекту, механизма обратной связи и разрешения проблем и программы наград за достижения в соответствии с критериями, изложенными в ОРП. </w:t>
      </w:r>
    </w:p>
    <w:bookmarkStart w:name="z11" w:id="17"/>
    <w:p>
      <w:pPr>
        <w:spacing w:after="0"/>
        <w:ind w:left="0"/>
        <w:jc w:val="left"/>
      </w:pPr>
      <w:r>
        <w:rPr>
          <w:rFonts w:ascii="Times New Roman"/>
          <w:b/>
          <w:i w:val="false"/>
          <w:color w:val="000000"/>
        </w:rPr>
        <w:t xml:space="preserve"> 
ДОПОЛНЕНИЕ 2</w:t>
      </w:r>
    </w:p>
    <w:bookmarkEnd w:id="17"/>
    <w:bookmarkStart w:name="z12" w:id="18"/>
    <w:p>
      <w:pPr>
        <w:spacing w:after="0"/>
        <w:ind w:left="0"/>
        <w:jc w:val="left"/>
      </w:pPr>
      <w:r>
        <w:rPr>
          <w:rFonts w:ascii="Times New Roman"/>
          <w:b/>
          <w:i w:val="false"/>
          <w:color w:val="000000"/>
        </w:rPr>
        <w:t xml:space="preserve"> 
Исполнение Проекта</w:t>
      </w:r>
    </w:p>
    <w:bookmarkEnd w:id="18"/>
    <w:bookmarkStart w:name="z13" w:id="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Механизмы реализации</w:t>
      </w:r>
    </w:p>
    <w:bookmarkEnd w:id="19"/>
    <w:bookmarkStart w:name="z14" w:id="20"/>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Институциональные механизмы</w:t>
      </w:r>
    </w:p>
    <w:bookmarkEnd w:id="20"/>
    <w:bookmarkStart w:name="z15" w:id="21"/>
    <w:p>
      <w:pPr>
        <w:spacing w:after="0"/>
        <w:ind w:left="0"/>
        <w:jc w:val="both"/>
      </w:pPr>
      <w:r>
        <w:rPr>
          <w:rFonts w:ascii="Times New Roman"/>
          <w:b w:val="false"/>
          <w:i w:val="false"/>
          <w:color w:val="000000"/>
          <w:sz w:val="28"/>
        </w:rPr>
        <w:t>
      1. Без ограничений для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Заемщик через МЗСР реализует Проект в соответствии с требованиями, критериями, организационными механизмами и операционными процедурами, представленными в ОРП. </w:t>
      </w:r>
      <w:r>
        <w:br/>
      </w:r>
      <w:r>
        <w:rPr>
          <w:rFonts w:ascii="Times New Roman"/>
          <w:b w:val="false"/>
          <w:i w:val="false"/>
          <w:color w:val="000000"/>
          <w:sz w:val="28"/>
        </w:rPr>
        <w:t>
</w:t>
      </w:r>
      <w:r>
        <w:rPr>
          <w:rFonts w:ascii="Times New Roman"/>
          <w:b w:val="false"/>
          <w:i w:val="false"/>
          <w:color w:val="000000"/>
          <w:sz w:val="28"/>
        </w:rPr>
        <w:t xml:space="preserve">
      2. Заемщик не вправе переуступать, вносить изменения, отменять или отказываться от любых положений ОРП без предварительного согласования с Банком. </w:t>
      </w:r>
      <w:r>
        <w:br/>
      </w:r>
      <w:r>
        <w:rPr>
          <w:rFonts w:ascii="Times New Roman"/>
          <w:b w:val="false"/>
          <w:i w:val="false"/>
          <w:color w:val="000000"/>
          <w:sz w:val="28"/>
        </w:rPr>
        <w:t>
</w:t>
      </w:r>
      <w:r>
        <w:rPr>
          <w:rFonts w:ascii="Times New Roman"/>
          <w:b w:val="false"/>
          <w:i w:val="false"/>
          <w:color w:val="000000"/>
          <w:sz w:val="28"/>
        </w:rPr>
        <w:t xml:space="preserve">
      3. Заемщик через МЗСР а) создаст и в дальнейшем будет осуществлять и поддерживать деятельность группы по управлению проектом (ГУП) на протяжении всего периода реализации Проекта с функциями и обязанностями (в том числе с обязанностью выполнять повседневные мероприятия, связанные с Проектом), удовлетворяющими требованиям Банка; и b) обеспечит, чтобы члены ГУП владели квалификацией и опытом, удовлетворяющими требованиям Банка, чтобы на протяжении всего Проекта работой ГУП руководил координатор Проекта и включал как минимум следующих сотрудников: (i) специалиста по финансовому управлению; (ii) бухгалтера; (iii) одного или несколько специалистов по закупкам (по необходимости); (iv) специалиста по мониторингу и оценке; (v) специалиста в области соблюдения экологических/социальных охранных мер (по необходимости); (vi) специалиста по национальной системе квалификаций; (vii) специалистов по услугам в сфере занятости (один по услугам трудоустройства и один по информационной системе рынка труда); (viii) специалиста по обучению рабочей силы; и (ix) административный и вспомогательный персонал, включая ассистента и переводчиков, по мере необходимости. </w:t>
      </w:r>
      <w:r>
        <w:br/>
      </w:r>
      <w:r>
        <w:rPr>
          <w:rFonts w:ascii="Times New Roman"/>
          <w:b w:val="false"/>
          <w:i w:val="false"/>
          <w:color w:val="000000"/>
          <w:sz w:val="28"/>
        </w:rPr>
        <w:t>
</w:t>
      </w:r>
      <w:r>
        <w:rPr>
          <w:rFonts w:ascii="Times New Roman"/>
          <w:b w:val="false"/>
          <w:i w:val="false"/>
          <w:color w:val="000000"/>
          <w:sz w:val="28"/>
        </w:rPr>
        <w:t>
      4. Независимо от положений </w:t>
      </w:r>
      <w:r>
        <w:rPr>
          <w:rFonts w:ascii="Times New Roman"/>
          <w:b w:val="false"/>
          <w:i w:val="false"/>
          <w:color w:val="000000"/>
          <w:sz w:val="28"/>
        </w:rPr>
        <w:t>пункта 3</w:t>
      </w:r>
      <w:r>
        <w:rPr>
          <w:rFonts w:ascii="Times New Roman"/>
          <w:b w:val="false"/>
          <w:i w:val="false"/>
          <w:color w:val="000000"/>
          <w:sz w:val="28"/>
        </w:rPr>
        <w:t xml:space="preserve"> данного раздела, не позднее сорока пяти (45) дней со дня вступления настоящего Соглашения в силу Заемщик через МЗСР наймет в состав ГУП координатора Проекта, специалиста по финансовому управлению, по крайней мере, одного специалиста по закупкам и бухгалтера.</w:t>
      </w:r>
      <w:r>
        <w:br/>
      </w:r>
      <w:r>
        <w:rPr>
          <w:rFonts w:ascii="Times New Roman"/>
          <w:b w:val="false"/>
          <w:i w:val="false"/>
          <w:color w:val="000000"/>
          <w:sz w:val="28"/>
        </w:rPr>
        <w:t>
</w:t>
      </w:r>
      <w:r>
        <w:rPr>
          <w:rFonts w:ascii="Times New Roman"/>
          <w:b w:val="false"/>
          <w:i w:val="false"/>
          <w:color w:val="000000"/>
          <w:sz w:val="28"/>
        </w:rPr>
        <w:t>
      5. Заемщик обеспечит функционирование в течение всего периода реализации Проекта рабочей группы по развитию трудовых навыков и стимулированию рабочих мест, удовлетворяющей требованиям Банка, которая является национальной межведомственной группой по координации проекта, в составе, предусмотренном в Операционном руководстве по проекту, который включает представителей высшего руководства соответствующих министерств и агентств.</w:t>
      </w:r>
      <w:r>
        <w:br/>
      </w:r>
      <w:r>
        <w:rPr>
          <w:rFonts w:ascii="Times New Roman"/>
          <w:b w:val="false"/>
          <w:i w:val="false"/>
          <w:color w:val="000000"/>
          <w:sz w:val="28"/>
        </w:rPr>
        <w:t>
</w:t>
      </w:r>
      <w:r>
        <w:rPr>
          <w:rFonts w:ascii="Times New Roman"/>
          <w:b w:val="false"/>
          <w:i w:val="false"/>
          <w:color w:val="000000"/>
          <w:sz w:val="28"/>
        </w:rPr>
        <w:t>
      6. Заемщик создаст и в дальнейшем будет поддерживать рабочий комитет Проекта в течение периода реализации проекта в составе, определенном в Операционном руководстве по проекту (включающем, в числе прочих, представителей МЗСР, МОН и НПП) с функциями и обязанностями, приемлемыми для Банка, включающими, в числе прочих, следующие обязанности: (i) осуществление надзора над управлением Проектом; и (ii) обеспечение МЗСР стратегическим и техническим руководством по общей реализации Проекта.</w:t>
      </w:r>
      <w:r>
        <w:br/>
      </w:r>
      <w:r>
        <w:rPr>
          <w:rFonts w:ascii="Times New Roman"/>
          <w:b w:val="false"/>
          <w:i w:val="false"/>
          <w:color w:val="000000"/>
          <w:sz w:val="28"/>
        </w:rPr>
        <w:t>
</w:t>
      </w:r>
      <w:r>
        <w:rPr>
          <w:rFonts w:ascii="Times New Roman"/>
          <w:b w:val="false"/>
          <w:i w:val="false"/>
          <w:color w:val="000000"/>
          <w:sz w:val="28"/>
        </w:rPr>
        <w:t>
      7. Не позднее шестидесяти дней (60) со дня вступления настоящего Соглашения в силу Заемщик через МЗСР обеспечит Проект функционирующим программным обеспечением для формирования финансовой отчетности и ведения бухгалтерского учета по Проекту, приемлемым для Банка.</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B. Противодействие коррупции</w:t>
      </w:r>
    </w:p>
    <w:bookmarkEnd w:id="22"/>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С. Охранные меры</w:t>
      </w:r>
    </w:p>
    <w:bookmarkEnd w:id="23"/>
    <w:bookmarkStart w:name="z24" w:id="24"/>
    <w:p>
      <w:pPr>
        <w:spacing w:after="0"/>
        <w:ind w:left="0"/>
        <w:jc w:val="both"/>
      </w:pPr>
      <w:r>
        <w:rPr>
          <w:rFonts w:ascii="Times New Roman"/>
          <w:b w:val="false"/>
          <w:i w:val="false"/>
          <w:color w:val="000000"/>
          <w:sz w:val="28"/>
        </w:rPr>
        <w:t xml:space="preserve">
      1. Заемщик осуществит реализацию Проекта в соответствии с Контрольным перечнем Плана управления окружающей средой (и любыми локальными планами природоохранных мероприятий, подготовленными в рамках такого Плана) и не будет переуступать, вносить изменения, приостанавливать, аннулировать, отменять или отказываться от каких-либо его положений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2. Заемщик обеспечит, что никакие мероприятия, связанные с реализацией Проекта, не повлекут за собой вынужденное переселение людей или не будут оказывать существенного негативного воздействия на окружающую среду, характеризующегося чувствительностью, разнородностью или беспрецедентностью, как это может быть определено Банком. </w:t>
      </w:r>
    </w:p>
    <w:bookmarkEnd w:id="24"/>
    <w:bookmarkStart w:name="z26" w:id="25"/>
    <w:p>
      <w:pPr>
        <w:spacing w:after="0"/>
        <w:ind w:left="0"/>
        <w:jc w:val="left"/>
      </w:pPr>
      <w:r>
        <w:rPr>
          <w:rFonts w:ascii="Times New Roman"/>
          <w:b/>
          <w:i w:val="false"/>
          <w:color w:val="000000"/>
        </w:rPr>
        <w:t xml:space="preserve"> 
Раздел II. Мониторинг, отчетность и оценка Проекта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bookmarkEnd w:id="26"/>
    <w:p>
      <w:pPr>
        <w:spacing w:after="0"/>
        <w:ind w:left="0"/>
        <w:jc w:val="both"/>
      </w:pPr>
      <w:r>
        <w:rPr>
          <w:rFonts w:ascii="Times New Roman"/>
          <w:b w:val="false"/>
          <w:i w:val="false"/>
          <w:color w:val="000000"/>
          <w:sz w:val="28"/>
        </w:rPr>
        <w:t>      Заемщик через МЗСР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и аудит </w:t>
      </w:r>
    </w:p>
    <w:bookmarkEnd w:id="27"/>
    <w:bookmarkStart w:name="z29" w:id="28"/>
    <w:p>
      <w:pPr>
        <w:spacing w:after="0"/>
        <w:ind w:left="0"/>
        <w:jc w:val="both"/>
      </w:pP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ограничений для положений части А настоящего раздела Заемщик через МЗСР будет готовить и представлять в Банк не позднее сорока пяти (45) дней после окончания каждого календарного квартала промежуточные неаудированные финансовые отчеты по Проекту за соответствующий календарный квартал, приемлемые для Банка по форме и содержанию.</w:t>
      </w:r>
      <w:r>
        <w:br/>
      </w:r>
      <w:r>
        <w:rPr>
          <w:rFonts w:ascii="Times New Roman"/>
          <w:b w:val="false"/>
          <w:i w:val="false"/>
          <w:color w:val="000000"/>
          <w:sz w:val="28"/>
        </w:rPr>
        <w:t>
</w:t>
      </w:r>
      <w:r>
        <w:rPr>
          <w:rFonts w:ascii="Times New Roman"/>
          <w:b w:val="false"/>
          <w:i w:val="false"/>
          <w:color w:val="000000"/>
          <w:sz w:val="28"/>
        </w:rPr>
        <w:t>
      3. Заемщик обеспечит проведение аудиторской проверки в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Заемщику и Банку не позднее шести месяцев после окончания соответствующего периода и быть своевременно доступной для общественности в форме, приемлемой для Банка. </w:t>
      </w:r>
    </w:p>
    <w:bookmarkEnd w:id="28"/>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rPr>
          <w:rFonts w:ascii="Times New Roman"/>
          <w:b w:val="false"/>
          <w:i w:val="false"/>
          <w:color w:val="000000"/>
          <w:sz w:val="28"/>
          <w:u w:val="single"/>
        </w:rPr>
        <w:t>Закупки</w:t>
      </w:r>
    </w:p>
    <w:bookmarkEnd w:id="29"/>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bookmarkEnd w:id="30"/>
    <w:bookmarkStart w:name="z34" w:id="31"/>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которые используются ниже в настоящем разделе для описания отдельных методов закупок или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bookmarkEnd w:id="31"/>
    <w:bookmarkStart w:name="z37" w:id="32"/>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Отдельные методы закупок товаров и неконсультационных услуг</w:t>
      </w:r>
    </w:p>
    <w:bookmarkEnd w:id="32"/>
    <w:bookmarkStart w:name="z38" w:id="33"/>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 и неконсультационных услуг.</w:t>
      </w:r>
      <w:r>
        <w:rPr>
          <w:rFonts w:ascii="Times New Roman"/>
          <w:b w:val="false"/>
          <w:i w:val="false"/>
          <w:color w:val="000000"/>
          <w:sz w:val="28"/>
        </w:rPr>
        <w:t xml:space="preserve"> Помимо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w:t>
      </w:r>
      <w:r>
        <w:br/>
      </w:r>
      <w:r>
        <w:rPr>
          <w:rFonts w:ascii="Times New Roman"/>
          <w:b w:val="false"/>
          <w:i w:val="false"/>
          <w:color w:val="000000"/>
          <w:sz w:val="28"/>
        </w:rPr>
        <w:t>
      (a) национальные конкурсные торги, которые регулируются дополнительными положениями,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w:t>
      </w:r>
      <w:r>
        <w:br/>
      </w:r>
      <w:r>
        <w:rPr>
          <w:rFonts w:ascii="Times New Roman"/>
          <w:b w:val="false"/>
          <w:i w:val="false"/>
          <w:color w:val="000000"/>
          <w:sz w:val="28"/>
        </w:rPr>
        <w:t xml:space="preserve">
      (b) закупки на открытом рынке; </w:t>
      </w:r>
      <w:r>
        <w:br/>
      </w:r>
      <w:r>
        <w:rPr>
          <w:rFonts w:ascii="Times New Roman"/>
          <w:b w:val="false"/>
          <w:i w:val="false"/>
          <w:color w:val="000000"/>
          <w:sz w:val="28"/>
        </w:rPr>
        <w:t xml:space="preserve">
      (c) прямые контракты. </w:t>
      </w:r>
    </w:p>
    <w:bookmarkEnd w:id="33"/>
    <w:bookmarkStart w:name="z40" w:id="34"/>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Отдельные методы закупок консультационных услуг</w:t>
      </w:r>
    </w:p>
    <w:bookmarkEnd w:id="34"/>
    <w:bookmarkStart w:name="z41" w:id="35"/>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w:t>
      </w:r>
      <w:r>
        <w:br/>
      </w:r>
      <w:r>
        <w:rPr>
          <w:rFonts w:ascii="Times New Roman"/>
          <w:b w:val="false"/>
          <w:i w:val="false"/>
          <w:color w:val="000000"/>
          <w:sz w:val="28"/>
        </w:rPr>
        <w:t xml:space="preserve">
      (a) отбор на основе качества </w:t>
      </w:r>
      <w:r>
        <w:br/>
      </w:r>
      <w:r>
        <w:rPr>
          <w:rFonts w:ascii="Times New Roman"/>
          <w:b w:val="false"/>
          <w:i w:val="false"/>
          <w:color w:val="000000"/>
          <w:sz w:val="28"/>
        </w:rPr>
        <w:t xml:space="preserve">
      (b) отбор при фиксированном бюджете </w:t>
      </w:r>
      <w:r>
        <w:br/>
      </w:r>
      <w:r>
        <w:rPr>
          <w:rFonts w:ascii="Times New Roman"/>
          <w:b w:val="false"/>
          <w:i w:val="false"/>
          <w:color w:val="000000"/>
          <w:sz w:val="28"/>
        </w:rPr>
        <w:t>
      (c) отбор по наименьшей стоимости</w:t>
      </w:r>
      <w:r>
        <w:br/>
      </w:r>
      <w:r>
        <w:rPr>
          <w:rFonts w:ascii="Times New Roman"/>
          <w:b w:val="false"/>
          <w:i w:val="false"/>
          <w:color w:val="000000"/>
          <w:sz w:val="28"/>
        </w:rPr>
        <w:t>
      (d) отбор на основе квалификации консультантов</w:t>
      </w:r>
      <w:r>
        <w:br/>
      </w:r>
      <w:r>
        <w:rPr>
          <w:rFonts w:ascii="Times New Roman"/>
          <w:b w:val="false"/>
          <w:i w:val="false"/>
          <w:color w:val="000000"/>
          <w:sz w:val="28"/>
        </w:rPr>
        <w:t>
      (e) закупки услуг консалтинговых фирм из одного источника</w:t>
      </w:r>
      <w:r>
        <w:br/>
      </w:r>
      <w:r>
        <w:rPr>
          <w:rFonts w:ascii="Times New Roman"/>
          <w:b w:val="false"/>
          <w:i w:val="false"/>
          <w:color w:val="000000"/>
          <w:sz w:val="28"/>
        </w:rPr>
        <w:t>
      (f) процедуры, изложенные в пунктах 5.2 и 5.3 Руководства по отбору и найму консультантов для отбора индивидуальных консультантов</w:t>
      </w:r>
      <w:r>
        <w:br/>
      </w:r>
      <w:r>
        <w:rPr>
          <w:rFonts w:ascii="Times New Roman"/>
          <w:b w:val="false"/>
          <w:i w:val="false"/>
          <w:color w:val="000000"/>
          <w:sz w:val="28"/>
        </w:rPr>
        <w:t>
      (g) процедуры отбора индивидуальных консультантов из одного источника</w:t>
      </w:r>
    </w:p>
    <w:bookmarkEnd w:id="35"/>
    <w:bookmarkStart w:name="z43" w:id="36"/>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36"/>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 </w:t>
      </w:r>
    </w:p>
    <w:bookmarkStart w:name="z44" w:id="37"/>
    <w:p>
      <w:pPr>
        <w:spacing w:after="0"/>
        <w:ind w:left="0"/>
        <w:jc w:val="left"/>
      </w:pPr>
      <w:r>
        <w:rPr>
          <w:rFonts w:ascii="Times New Roman"/>
          <w:b/>
          <w:i w:val="false"/>
          <w:color w:val="000000"/>
        </w:rPr>
        <w:t xml:space="preserve"> 
Раздел IV. Снятие средств Займа</w:t>
      </w:r>
    </w:p>
    <w:bookmarkEnd w:id="37"/>
    <w:bookmarkStart w:name="z45" w:id="38"/>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bookmarkEnd w:id="38"/>
    <w:bookmarkStart w:name="z46" w:id="39"/>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как указано в таблице, приведенной в пункте 2 ниже.</w:t>
      </w:r>
      <w:r>
        <w:br/>
      </w:r>
      <w:r>
        <w:rPr>
          <w:rFonts w:ascii="Times New Roman"/>
          <w:b w:val="false"/>
          <w:i w:val="false"/>
          <w:color w:val="000000"/>
          <w:sz w:val="28"/>
        </w:rPr>
        <w:t>
</w:t>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распределение сумм Займа на каждую Категорию и процентная доля расходов, подлежащих финансированию в качестве Правомочных Расходов по каждой Категории.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242"/>
        <w:gridCol w:w="5092"/>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Выделяемая сумма займа (выраженная в долларах США)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 подлежащих финансированию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неконсультационные услуги, услуги консультантов, операционные расходы и обучение в рамках Проекта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Для целей настоящей таблицы:</w:t>
      </w:r>
      <w:r>
        <w:br/>
      </w:r>
      <w:r>
        <w:rPr>
          <w:rFonts w:ascii="Times New Roman"/>
          <w:b w:val="false"/>
          <w:i w:val="false"/>
          <w:color w:val="000000"/>
          <w:sz w:val="28"/>
        </w:rPr>
        <w:t>
      «Операционные расходы» означают обоснованные и дополнительные расходы, понесенные МЗСР, в рамках реализации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коммунальные услуги, обоснованные командировочные расходы, расходы на транспорт, суточные, расходы на проживание (жилье) (за исключением расходов, связанных с обучением), и другие обоснованные расходы, непосредственно связанные с реализацией Проекта согласно договоренности между Заемщиком и Банком на основе полугодовых бюджетов, приемлемых для Банка.</w:t>
      </w:r>
    </w:p>
    <w:bookmarkStart w:name="z48" w:id="40"/>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bookmarkEnd w:id="40"/>
    <w:bookmarkStart w:name="z49" w:id="41"/>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 не получит полную сумму Единовременной Комиссии; или</w:t>
      </w:r>
      <w:r>
        <w:br/>
      </w:r>
      <w:r>
        <w:rPr>
          <w:rFonts w:ascii="Times New Roman"/>
          <w:b w:val="false"/>
          <w:i w:val="false"/>
          <w:color w:val="000000"/>
          <w:sz w:val="28"/>
        </w:rPr>
        <w:t xml:space="preserve">
      (b) по платежам, совершенным до даты заключения настоящего Соглашения. </w:t>
      </w:r>
      <w:r>
        <w:br/>
      </w:r>
      <w:r>
        <w:rPr>
          <w:rFonts w:ascii="Times New Roman"/>
          <w:b w:val="false"/>
          <w:i w:val="false"/>
          <w:color w:val="000000"/>
          <w:sz w:val="28"/>
        </w:rPr>
        <w:t>
</w:t>
      </w:r>
      <w:r>
        <w:rPr>
          <w:rFonts w:ascii="Times New Roman"/>
          <w:b w:val="false"/>
          <w:i w:val="false"/>
          <w:color w:val="000000"/>
          <w:sz w:val="28"/>
        </w:rPr>
        <w:t>
      2. Дата закрытия – 30 июня 2020 года.</w:t>
      </w:r>
    </w:p>
    <w:bookmarkEnd w:id="41"/>
    <w:bookmarkStart w:name="z51" w:id="42"/>
    <w:p>
      <w:pPr>
        <w:spacing w:after="0"/>
        <w:ind w:left="0"/>
        <w:jc w:val="left"/>
      </w:pPr>
      <w:r>
        <w:rPr>
          <w:rFonts w:ascii="Times New Roman"/>
          <w:b/>
          <w:i w:val="false"/>
          <w:color w:val="000000"/>
        </w:rPr>
        <w:t xml:space="preserve"> 
Приложение к </w:t>
      </w:r>
      <w:r>
        <w:br/>
      </w:r>
      <w:r>
        <w:rPr>
          <w:rFonts w:ascii="Times New Roman"/>
          <w:b/>
          <w:i w:val="false"/>
          <w:color w:val="000000"/>
        </w:rPr>
        <w:t>
ДОПОЛНЕНИЮ 2</w:t>
      </w:r>
    </w:p>
    <w:bookmarkEnd w:id="42"/>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сентября 2014 года № 239-V; при условии, что такие процедуры будут проводиться в соответствии с положениями раздела I и пунктами 3.3 и 3.4 Руководства по закупкам, а также следующими дополнительными положениями:</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присуждение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r>
        <w:br/>
      </w:r>
      <w:r>
        <w:rPr>
          <w:rFonts w:ascii="Times New Roman"/>
          <w:b w:val="false"/>
          <w:i w:val="false"/>
          <w:color w:val="000000"/>
          <w:sz w:val="28"/>
        </w:rPr>
        <w:t>
      (g)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представлена всем участникам торгов, которые подали конкурсные заявки, и Банку в отношении контрактов, подлежащих предварительному рассмотрению Банком.</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r>
        <w:br/>
      </w:r>
      <w:r>
        <w:rPr>
          <w:rFonts w:ascii="Times New Roman"/>
          <w:b w:val="false"/>
          <w:i w:val="false"/>
          <w:color w:val="000000"/>
          <w:sz w:val="28"/>
        </w:rPr>
        <w:t>
      (n) Гарантии: гарантии конкурсных заявок и исполнения контрактов должны представляться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(p) 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в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использованием других средств публикации, приемлемых для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bookmarkStart w:name="z52" w:id="43"/>
    <w:p>
      <w:pPr>
        <w:spacing w:after="0"/>
        <w:ind w:left="0"/>
        <w:jc w:val="left"/>
      </w:pPr>
      <w:r>
        <w:rPr>
          <w:rFonts w:ascii="Times New Roman"/>
          <w:b/>
          <w:i w:val="false"/>
          <w:color w:val="000000"/>
        </w:rPr>
        <w:t xml:space="preserve"> 
ДОПОЛНЕНИЕ 3</w:t>
      </w:r>
    </w:p>
    <w:bookmarkEnd w:id="43"/>
    <w:bookmarkStart w:name="z53" w:id="44"/>
    <w:p>
      <w:pPr>
        <w:spacing w:after="0"/>
        <w:ind w:left="0"/>
        <w:jc w:val="left"/>
      </w:pPr>
      <w:r>
        <w:rPr>
          <w:rFonts w:ascii="Times New Roman"/>
          <w:b/>
          <w:i w:val="false"/>
          <w:color w:val="000000"/>
        </w:rPr>
        <w:t xml:space="preserve"> 
График погашения</w:t>
      </w:r>
    </w:p>
    <w:bookmarkEnd w:id="44"/>
    <w:bookmarkStart w:name="z54" w:id="45"/>
    <w:p>
      <w:pPr>
        <w:spacing w:after="0"/>
        <w:ind w:left="0"/>
        <w:jc w:val="both"/>
      </w:pPr>
      <w:r>
        <w:rPr>
          <w:rFonts w:ascii="Times New Roman"/>
          <w:b w:val="false"/>
          <w:i w:val="false"/>
          <w:color w:val="000000"/>
          <w:sz w:val="28"/>
        </w:rPr>
        <w:t>
      1. В следующей таблице указаны даты погашения основного долга и процентная доля общей суммы Займа, подлежащая уплате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на (b) Долю погашения на каждую Дату погашения основного долга и, при необходимости, погашаемая сумма может быть изменена для исключения любых сумм, указанных в пункте 4 данного Дополнения, к которым применяется конвертация валюты.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погашения основного долга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 (в процентном выражении)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15 марта и 15 сентября,</w:t>
            </w:r>
            <w:r>
              <w:br/>
            </w:r>
            <w:r>
              <w:rPr>
                <w:rFonts w:ascii="Times New Roman"/>
                <w:b w:val="false"/>
                <w:i w:val="false"/>
                <w:color w:val="000000"/>
                <w:sz w:val="20"/>
              </w:rPr>
              <w:t xml:space="preserve">
начиная с 15 сентября 2020 года </w:t>
            </w:r>
            <w:r>
              <w:br/>
            </w:r>
            <w:r>
              <w:rPr>
                <w:rFonts w:ascii="Times New Roman"/>
                <w:b w:val="false"/>
                <w:i w:val="false"/>
                <w:color w:val="000000"/>
                <w:sz w:val="20"/>
              </w:rPr>
              <w:t>
по 15 сентября 2033 года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2034 года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bl>
    <w:bookmarkStart w:name="z55" w:id="46"/>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Дополнения.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Доля погашения, указанная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Дополнения для этой Даты погашения основного долга («Первоначальная Доля погашения»), и знаменателем которой является сумма всех оставшихся Первоначальных Долей погашения на Даты погашения основного долга на такую дату или после нее и, при необходимости, погашаемые суммы могут быть изменены для исключения любых сумм, указанных в пункте 4 настоящего Дополнения,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xml:space="preserve">
      (b) Независимо от положений подпункта (a)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то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2. Независимо от положений пунктов 1 и 2 настоящего Дополнения, при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w:t>
      </w:r>
      <w:r>
        <w:br/>
      </w:r>
      <w:r>
        <w:rPr>
          <w:rFonts w:ascii="Times New Roman"/>
          <w:b w:val="false"/>
          <w:i w:val="false"/>
          <w:color w:val="000000"/>
          <w:sz w:val="28"/>
        </w:rPr>
        <w:t xml:space="preserve">
      3. Если снятый остаток Займа выражен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 </w:t>
      </w:r>
    </w:p>
    <w:bookmarkEnd w:id="46"/>
    <w:bookmarkStart w:name="z57" w:id="47"/>
    <w:p>
      <w:pPr>
        <w:spacing w:after="0"/>
        <w:ind w:left="0"/>
        <w:jc w:val="left"/>
      </w:pPr>
      <w:r>
        <w:rPr>
          <w:rFonts w:ascii="Times New Roman"/>
          <w:b/>
          <w:i w:val="false"/>
          <w:color w:val="000000"/>
        </w:rPr>
        <w:t xml:space="preserve"> 
ПРИЛОЖЕНИЕ</w:t>
      </w:r>
    </w:p>
    <w:bookmarkEnd w:id="47"/>
    <w:bookmarkStart w:name="z58" w:id="48"/>
    <w:p>
      <w:pPr>
        <w:spacing w:after="0"/>
        <w:ind w:left="0"/>
        <w:jc w:val="left"/>
      </w:pPr>
      <w:r>
        <w:rPr>
          <w:rFonts w:ascii="Times New Roman"/>
          <w:b/>
          <w:i w:val="false"/>
          <w:color w:val="000000"/>
        </w:rPr>
        <w:t xml:space="preserve"> 
Раздел I. Определения</w:t>
      </w:r>
    </w:p>
    <w:bookmarkEnd w:id="48"/>
    <w:bookmarkStart w:name="z59" w:id="49"/>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 </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указанную в таблице </w:t>
      </w:r>
      <w:r>
        <w:rPr>
          <w:rFonts w:ascii="Times New Roman"/>
          <w:b w:val="false"/>
          <w:i w:val="false"/>
          <w:color w:val="000000"/>
          <w:sz w:val="28"/>
        </w:rPr>
        <w:t>раздела IV</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3. «Руководство по отбору и найму консультантов»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 </w:t>
      </w:r>
      <w:r>
        <w:br/>
      </w:r>
      <w:r>
        <w:rPr>
          <w:rFonts w:ascii="Times New Roman"/>
          <w:b w:val="false"/>
          <w:i w:val="false"/>
          <w:color w:val="000000"/>
          <w:sz w:val="28"/>
        </w:rPr>
        <w:t>
</w:t>
      </w:r>
      <w:r>
        <w:rPr>
          <w:rFonts w:ascii="Times New Roman"/>
          <w:b w:val="false"/>
          <w:i w:val="false"/>
          <w:color w:val="000000"/>
          <w:sz w:val="28"/>
        </w:rPr>
        <w:t>
      4. «Центр занятости» означает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Заемщика от 23 января 2001 года № 149 «О занятости населения» (при этом в такой Закон время от времени могут вноситься изменения), или любой его правопреемник. </w:t>
      </w:r>
      <w:r>
        <w:br/>
      </w:r>
      <w:r>
        <w:rPr>
          <w:rFonts w:ascii="Times New Roman"/>
          <w:b w:val="false"/>
          <w:i w:val="false"/>
          <w:color w:val="000000"/>
          <w:sz w:val="28"/>
        </w:rPr>
        <w:t>
</w:t>
      </w:r>
      <w:r>
        <w:rPr>
          <w:rFonts w:ascii="Times New Roman"/>
          <w:b w:val="false"/>
          <w:i w:val="false"/>
          <w:color w:val="000000"/>
          <w:sz w:val="28"/>
        </w:rPr>
        <w:t>
      5. «Отдел занятости» означает уполномоченный орган, который является структурным подразделением местных исполнительных органов района, городов областного и республиканского значения, столицы, обеспечивающим содействие занятости населения и социальную защиту от безработицы на региональном уровне,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Заемщика от 23 января 2001 года № 149 «О занятости населения» (при этом в такой Закон время от времени могут вноситься изменения), или любой его правопреемник. </w:t>
      </w:r>
      <w:r>
        <w:br/>
      </w:r>
      <w:r>
        <w:rPr>
          <w:rFonts w:ascii="Times New Roman"/>
          <w:b w:val="false"/>
          <w:i w:val="false"/>
          <w:color w:val="000000"/>
          <w:sz w:val="28"/>
        </w:rPr>
        <w:t>
</w:t>
      </w:r>
      <w:r>
        <w:rPr>
          <w:rFonts w:ascii="Times New Roman"/>
          <w:b w:val="false"/>
          <w:i w:val="false"/>
          <w:color w:val="000000"/>
          <w:sz w:val="28"/>
        </w:rPr>
        <w:t xml:space="preserve">
      6. «Контрольный перечень плана управления окружающей средой» означает документ Заемщика от 19 декабря 2014 года, подготовленный МЗСР и приемлемый для Банка, описывающий Проект и возможные экологические последствия, связанные с реабилитацией, включая список возможных мер по смягчению последствий, размещенный на вебсайте МЗСР и сайте InfoShop Банка 19 декабря 2014 года. </w:t>
      </w:r>
      <w:r>
        <w:br/>
      </w:r>
      <w:r>
        <w:rPr>
          <w:rFonts w:ascii="Times New Roman"/>
          <w:b w:val="false"/>
          <w:i w:val="false"/>
          <w:color w:val="000000"/>
          <w:sz w:val="28"/>
        </w:rPr>
        <w:t>
</w:t>
      </w:r>
      <w:r>
        <w:rPr>
          <w:rFonts w:ascii="Times New Roman"/>
          <w:b w:val="false"/>
          <w:i w:val="false"/>
          <w:color w:val="000000"/>
          <w:sz w:val="28"/>
        </w:rPr>
        <w:t>
      7. «Общие Условия» означают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 </w:t>
      </w:r>
      <w:r>
        <w:br/>
      </w:r>
      <w:r>
        <w:rPr>
          <w:rFonts w:ascii="Times New Roman"/>
          <w:b w:val="false"/>
          <w:i w:val="false"/>
          <w:color w:val="000000"/>
          <w:sz w:val="28"/>
        </w:rPr>
        <w:t>
</w:t>
      </w:r>
      <w:r>
        <w:rPr>
          <w:rFonts w:ascii="Times New Roman"/>
          <w:b w:val="false"/>
          <w:i w:val="false"/>
          <w:color w:val="000000"/>
          <w:sz w:val="28"/>
        </w:rPr>
        <w:t xml:space="preserve">
      9. «МЗСР» означает Министерство здравоохранения и социального развития Заемщика либо любого его правопреемника. </w:t>
      </w:r>
      <w:r>
        <w:br/>
      </w:r>
      <w:r>
        <w:rPr>
          <w:rFonts w:ascii="Times New Roman"/>
          <w:b w:val="false"/>
          <w:i w:val="false"/>
          <w:color w:val="000000"/>
          <w:sz w:val="28"/>
        </w:rPr>
        <w:t>
</w:t>
      </w:r>
      <w:r>
        <w:rPr>
          <w:rFonts w:ascii="Times New Roman"/>
          <w:b w:val="false"/>
          <w:i w:val="false"/>
          <w:color w:val="000000"/>
          <w:sz w:val="28"/>
        </w:rPr>
        <w:t xml:space="preserve">
      10. «МОН» означает Министерство образования и науки Заемщика либо любого его правопреемника. </w:t>
      </w:r>
      <w:r>
        <w:br/>
      </w:r>
      <w:r>
        <w:rPr>
          <w:rFonts w:ascii="Times New Roman"/>
          <w:b w:val="false"/>
          <w:i w:val="false"/>
          <w:color w:val="000000"/>
          <w:sz w:val="28"/>
        </w:rPr>
        <w:t>
</w:t>
      </w:r>
      <w:r>
        <w:rPr>
          <w:rFonts w:ascii="Times New Roman"/>
          <w:b w:val="false"/>
          <w:i w:val="false"/>
          <w:color w:val="000000"/>
          <w:sz w:val="28"/>
        </w:rPr>
        <w:t>
      11. «НПП» означает Национальную палату предпринимателей, некоммерческую, саморегулируемую организацию, представляющую собой союз субъектов предпринимательства, созданную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Заемщика от 4 июля 2013 года № 129-V «О Национальной палате предпринимателей» (при этом в такой Закон время от времени могут вноситься изменения), или любой ее правопреемник. </w:t>
      </w:r>
      <w:r>
        <w:br/>
      </w:r>
      <w:r>
        <w:rPr>
          <w:rFonts w:ascii="Times New Roman"/>
          <w:b w:val="false"/>
          <w:i w:val="false"/>
          <w:color w:val="000000"/>
          <w:sz w:val="28"/>
        </w:rPr>
        <w:t>
</w:t>
      </w:r>
      <w:r>
        <w:rPr>
          <w:rFonts w:ascii="Times New Roman"/>
          <w:b w:val="false"/>
          <w:i w:val="false"/>
          <w:color w:val="000000"/>
          <w:sz w:val="28"/>
        </w:rPr>
        <w:t>
      12. «ГУП» означает Группу управления проектом, упомянутую в </w:t>
      </w:r>
      <w:r>
        <w:rPr>
          <w:rFonts w:ascii="Times New Roman"/>
          <w:b w:val="false"/>
          <w:i w:val="false"/>
          <w:color w:val="000000"/>
          <w:sz w:val="28"/>
        </w:rPr>
        <w:t>разделе I.A.3</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13. «ОРП» означает Операционное руководство по Проекту Заемщика, подготовленное МЗСР и удовлетворяющее требованиям Банка, описывающее и излагающее процедуры реализации Проекта и институциональные механизмы в соответствии с положениями настоящего Соглашения, включающее, помимо прочего, графики мероприятий, проведение которых необходимо в рамках Проекта; описание соответствующих ролей и обязанностей ведомств Заемщика, вовлеченных в процесс реализации Проекта, критерии отбора и список поставщиков услуг обучения в соответствии с </w:t>
      </w:r>
      <w:r>
        <w:rPr>
          <w:rFonts w:ascii="Times New Roman"/>
          <w:b w:val="false"/>
          <w:i w:val="false"/>
          <w:color w:val="000000"/>
          <w:sz w:val="28"/>
        </w:rPr>
        <w:t>Частью 2</w:t>
      </w:r>
      <w:r>
        <w:rPr>
          <w:rFonts w:ascii="Times New Roman"/>
          <w:b w:val="false"/>
          <w:i w:val="false"/>
          <w:color w:val="000000"/>
          <w:sz w:val="28"/>
        </w:rPr>
        <w:t xml:space="preserve"> (b) Проекта, критерии отбора получателей обучения в соответствии с </w:t>
      </w:r>
      <w:r>
        <w:rPr>
          <w:rFonts w:ascii="Times New Roman"/>
          <w:b w:val="false"/>
          <w:i w:val="false"/>
          <w:color w:val="000000"/>
          <w:sz w:val="28"/>
        </w:rPr>
        <w:t>Частью 2</w:t>
      </w:r>
      <w:r>
        <w:rPr>
          <w:rFonts w:ascii="Times New Roman"/>
          <w:b w:val="false"/>
          <w:i w:val="false"/>
          <w:color w:val="000000"/>
          <w:sz w:val="28"/>
        </w:rPr>
        <w:t xml:space="preserve"> (с) штатного расписания Проекта, фидуциарные, технические и операционные аспекты и процедуры реализации Проекта, включая процедуры финансового управления (составление бюджета, бухгалтерский учет и внутренний контроль, освоение средств и движение денежных средств, финансовая отчетность, годовые отчеты, процедуры, регулирующие механизмы внутреннего и внешнего аудита, включая специальную схему счетов Проекта), процедуры закупок, механизмы мониторинга и оценки, и другие фидуциарные и административные механизмы и необходимые технические задания, в которые периодически могут вноситься изменения по согласованию с Банком.</w:t>
      </w:r>
      <w:r>
        <w:br/>
      </w:r>
      <w:r>
        <w:rPr>
          <w:rFonts w:ascii="Times New Roman"/>
          <w:b w:val="false"/>
          <w:i w:val="false"/>
          <w:color w:val="000000"/>
          <w:sz w:val="28"/>
        </w:rPr>
        <w:t>
</w:t>
      </w:r>
      <w:r>
        <w:rPr>
          <w:rFonts w:ascii="Times New Roman"/>
          <w:b w:val="false"/>
          <w:i w:val="false"/>
          <w:color w:val="000000"/>
          <w:sz w:val="28"/>
        </w:rPr>
        <w:t xml:space="preserve">
      14.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 </w:t>
      </w:r>
      <w:r>
        <w:br/>
      </w:r>
      <w:r>
        <w:rPr>
          <w:rFonts w:ascii="Times New Roman"/>
          <w:b w:val="false"/>
          <w:i w:val="false"/>
          <w:color w:val="000000"/>
          <w:sz w:val="28"/>
        </w:rPr>
        <w:t>
</w:t>
      </w:r>
      <w:r>
        <w:rPr>
          <w:rFonts w:ascii="Times New Roman"/>
          <w:b w:val="false"/>
          <w:i w:val="false"/>
          <w:color w:val="000000"/>
          <w:sz w:val="28"/>
        </w:rPr>
        <w:t>
      15. «План Закупок» означает план закупок Заемщика, подготовленный МЗСР, для Проекта от 19 февраля 2015 года и указанный в пункте 1.18 Руководства по закупкам и пункте 1.25 Руководства по отбору и найму консультантов, при этом он будет периодически обновляться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16. «Рабочий Комитет Проекта» означает комитет, упомянутый в </w:t>
      </w:r>
      <w:r>
        <w:rPr>
          <w:rFonts w:ascii="Times New Roman"/>
          <w:b w:val="false"/>
          <w:i w:val="false"/>
          <w:color w:val="000000"/>
          <w:sz w:val="28"/>
        </w:rPr>
        <w:t>разделе I.A.5</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17. «Обучение» означает расходы (не связанные с расходами на консультационные услуги), понесенные в ходе реализации Проекта на основании регулярного пересмотра бюджета, приемлемого для Банка, а именно (i) обоснованные расходы на проезд, проживание, питание и суточные, понесенные преподавательским составом и участниками обучения в связи с прохождением обучения; (ii) оплата за обучение; (iii) аренда помещений для обучения/семинара и оборудования; и (iv) расходы на подготовку, приобретение, размножение и распространение учебных материалов, иным образом не предусмотренные в рамках настоящего пункта.</w:t>
      </w:r>
      <w:r>
        <w:br/>
      </w:r>
      <w:r>
        <w:rPr>
          <w:rFonts w:ascii="Times New Roman"/>
          <w:b w:val="false"/>
          <w:i w:val="false"/>
          <w:color w:val="000000"/>
          <w:sz w:val="28"/>
        </w:rPr>
        <w:t>
</w:t>
      </w:r>
      <w:r>
        <w:rPr>
          <w:rFonts w:ascii="Times New Roman"/>
          <w:b w:val="false"/>
          <w:i w:val="false"/>
          <w:color w:val="000000"/>
          <w:sz w:val="28"/>
        </w:rPr>
        <w:t>
      18. «Рабочая группа» означает группу, упомянутую в </w:t>
      </w:r>
      <w:r>
        <w:rPr>
          <w:rFonts w:ascii="Times New Roman"/>
          <w:b w:val="false"/>
          <w:i w:val="false"/>
          <w:color w:val="000000"/>
          <w:sz w:val="28"/>
        </w:rPr>
        <w:t>разделе I.A.4</w:t>
      </w:r>
      <w:r>
        <w:rPr>
          <w:rFonts w:ascii="Times New Roman"/>
          <w:b w:val="false"/>
          <w:i w:val="false"/>
          <w:color w:val="000000"/>
          <w:sz w:val="28"/>
        </w:rPr>
        <w:t xml:space="preserve"> Дополнения 2 к настоящему Соглашению. </w:t>
      </w:r>
    </w:p>
    <w:bookmarkEnd w:id="49"/>
    <w:bookmarkStart w:name="z77" w:id="50"/>
    <w:p>
      <w:pPr>
        <w:spacing w:after="0"/>
        <w:ind w:left="0"/>
        <w:jc w:val="left"/>
      </w:pPr>
      <w:r>
        <w:rPr>
          <w:rFonts w:ascii="Times New Roman"/>
          <w:b/>
          <w:i w:val="false"/>
          <w:color w:val="000000"/>
        </w:rPr>
        <w:t xml:space="preserve"> 
Раздел II. Изменения в Общих Условиях</w:t>
      </w:r>
    </w:p>
    <w:bookmarkEnd w:id="50"/>
    <w:bookmarkStart w:name="z78" w:id="51"/>
    <w:p>
      <w:pPr>
        <w:spacing w:after="0"/>
        <w:ind w:left="0"/>
        <w:jc w:val="both"/>
      </w:pPr>
      <w:r>
        <w:rPr>
          <w:rFonts w:ascii="Times New Roman"/>
          <w:b w:val="false"/>
          <w:i w:val="false"/>
          <w:color w:val="000000"/>
          <w:sz w:val="28"/>
        </w:rPr>
        <w:t>      Настоящим в Общие Условия вносятся следующие изменения:</w:t>
      </w:r>
      <w:r>
        <w:br/>
      </w:r>
      <w:r>
        <w:rPr>
          <w:rFonts w:ascii="Times New Roman"/>
          <w:b w:val="false"/>
          <w:i w:val="false"/>
          <w:color w:val="000000"/>
          <w:sz w:val="28"/>
        </w:rPr>
        <w:t>
      1. В Содержании ссылки на разделы, их названия и нумерация меняются для отражения изменений, обозначенных в пунктах ниже.</w:t>
      </w:r>
      <w:r>
        <w:br/>
      </w:r>
      <w:r>
        <w:rPr>
          <w:rFonts w:ascii="Times New Roman"/>
          <w:b w:val="false"/>
          <w:i w:val="false"/>
          <w:color w:val="000000"/>
          <w:sz w:val="28"/>
        </w:rPr>
        <w:t>
</w:t>
      </w:r>
      <w:r>
        <w:rPr>
          <w:rFonts w:ascii="Times New Roman"/>
          <w:b w:val="false"/>
          <w:i w:val="false"/>
          <w:color w:val="000000"/>
          <w:sz w:val="28"/>
        </w:rPr>
        <w:t>
      2. В раздел 3.01. (Единовременная Комиссия) вносится следующее изменение:</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(а) Заемщик оплачивает Банку единовременную комиссию в отношении суммы Займа по ставке, предусмотренной в Соглашении о займе («Единовременная Комиссия»).</w:t>
      </w:r>
      <w:r>
        <w:br/>
      </w:r>
      <w:r>
        <w:rPr>
          <w:rFonts w:ascii="Times New Roman"/>
          <w:b w:val="false"/>
          <w:i w:val="false"/>
          <w:color w:val="000000"/>
          <w:sz w:val="28"/>
        </w:rPr>
        <w:t>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шестидесяти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Дату платежа».</w:t>
      </w:r>
      <w:r>
        <w:br/>
      </w:r>
      <w:r>
        <w:rPr>
          <w:rFonts w:ascii="Times New Roman"/>
          <w:b w:val="false"/>
          <w:i w:val="false"/>
          <w:color w:val="000000"/>
          <w:sz w:val="28"/>
        </w:rPr>
        <w:t>
</w:t>
      </w:r>
      <w:r>
        <w:rPr>
          <w:rFonts w:ascii="Times New Roman"/>
          <w:b w:val="false"/>
          <w:i w:val="false"/>
          <w:color w:val="000000"/>
          <w:sz w:val="28"/>
        </w:rPr>
        <w:t>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w:t>
      </w:r>
      <w:r>
        <w:br/>
      </w:r>
      <w:r>
        <w:rPr>
          <w:rFonts w:ascii="Times New Roman"/>
          <w:b w:val="false"/>
          <w:i w:val="false"/>
          <w:color w:val="000000"/>
          <w:sz w:val="28"/>
        </w:rPr>
        <w:t>
</w:t>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w:t>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r>
        <w:br/>
      </w:r>
      <w:r>
        <w:rPr>
          <w:rFonts w:ascii="Times New Roman"/>
          <w:b w:val="false"/>
          <w:i w:val="false"/>
          <w:color w:val="000000"/>
          <w:sz w:val="28"/>
        </w:rPr>
        <w:t>
</w:t>
      </w:r>
      <w:r>
        <w:rPr>
          <w:rFonts w:ascii="Times New Roman"/>
          <w:b w:val="false"/>
          <w:i w:val="false"/>
          <w:color w:val="000000"/>
          <w:sz w:val="28"/>
        </w:rPr>
        <w:t>
      6. В перенумерованном пункте 68 (первоначально пункт 67) Приложения определение термина «Платеж по кредиту» изменено следующим образом:</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имеется),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w:t>
      </w:r>
      <w:r>
        <w:rPr>
          <w:rFonts w:ascii="Times New Roman"/>
          <w:b w:val="false"/>
          <w:i w:val="false"/>
          <w:color w:val="000000"/>
          <w:sz w:val="28"/>
        </w:rPr>
        <w:t>
      7. В перенумерованном пункте 73 (первоначально пункт 72) Приложения определение «Даты платежка» изменено путем удаления слова «является» и вставки слов «и Комиссии за резервирование» после слова «процент».</w:t>
      </w:r>
    </w:p>
    <w:bookmarkEnd w:id="51"/>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 на английском языке, совершенного 20 июля 2015 года в Астане.</w:t>
      </w:r>
    </w:p>
    <w:p>
      <w:pPr>
        <w:spacing w:after="0"/>
        <w:ind w:left="0"/>
        <w:jc w:val="both"/>
      </w:pPr>
      <w:r>
        <w:rPr>
          <w:rFonts w:ascii="Times New Roman"/>
          <w:b w:val="false"/>
          <w:i/>
          <w:color w:val="000000"/>
          <w:sz w:val="28"/>
        </w:rPr>
        <w:t>      Руководитель Управления</w:t>
      </w:r>
      <w:r>
        <w:br/>
      </w:r>
      <w:r>
        <w:rPr>
          <w:rFonts w:ascii="Times New Roman"/>
          <w:b w:val="false"/>
          <w:i w:val="false"/>
          <w:color w:val="000000"/>
          <w:sz w:val="28"/>
        </w:rPr>
        <w:t>
</w:t>
      </w:r>
      <w:r>
        <w:rPr>
          <w:rFonts w:ascii="Times New Roman"/>
          <w:b w:val="false"/>
          <w:i/>
          <w:color w:val="000000"/>
          <w:sz w:val="28"/>
        </w:rPr>
        <w:t>      редактирования и лингвистической</w:t>
      </w:r>
      <w:r>
        <w:br/>
      </w:r>
      <w:r>
        <w:rPr>
          <w:rFonts w:ascii="Times New Roman"/>
          <w:b w:val="false"/>
          <w:i w:val="false"/>
          <w:color w:val="000000"/>
          <w:sz w:val="28"/>
        </w:rPr>
        <w:t>
</w:t>
      </w:r>
      <w:r>
        <w:rPr>
          <w:rFonts w:ascii="Times New Roman"/>
          <w:b w:val="false"/>
          <w:i/>
          <w:color w:val="000000"/>
          <w:sz w:val="28"/>
        </w:rPr>
        <w:t>      экспертизы документов</w:t>
      </w:r>
      <w:r>
        <w:br/>
      </w:r>
      <w:r>
        <w:rPr>
          <w:rFonts w:ascii="Times New Roman"/>
          <w:b w:val="false"/>
          <w:i w:val="false"/>
          <w:color w:val="000000"/>
          <w:sz w:val="28"/>
        </w:rPr>
        <w:t>
</w:t>
      </w:r>
      <w:r>
        <w:rPr>
          <w:rFonts w:ascii="Times New Roman"/>
          <w:b w:val="false"/>
          <w:i/>
          <w:color w:val="000000"/>
          <w:sz w:val="28"/>
        </w:rPr>
        <w:t>      Департамента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