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633e" w14:textId="7506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повышения конкурентоспособности малых и средних предприятий)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2 декабря 2015 года № 431-V ЗРК</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займе (Проект повышения конкурентоспособности малых и средних предприятий) между Республикой Казахстан и Международным Банком Реконструкции и Развития, совершенное в Астане 20 июля 2015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 8477-KZ</w:t>
      </w:r>
    </w:p>
    <w:bookmarkStart w:name="z6" w:id="0"/>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(Проект повышения конкурентоспособности малых и</w:t>
      </w:r>
      <w:r>
        <w:br/>
      </w:r>
      <w:r>
        <w:rPr>
          <w:rFonts w:ascii="Times New Roman"/>
          <w:b/>
          <w:i w:val="false"/>
          <w:color w:val="000000"/>
        </w:rPr>
        <w:t>средних предприятий)</w:t>
      </w:r>
      <w:r>
        <w:br/>
      </w:r>
      <w:r>
        <w:rPr>
          <w:rFonts w:ascii="Times New Roman"/>
          <w:b/>
          <w:i w:val="false"/>
          <w:color w:val="000000"/>
        </w:rPr>
        <w:t>между</w:t>
      </w:r>
      <w:r>
        <w:br/>
      </w:r>
      <w:r>
        <w:rPr>
          <w:rFonts w:ascii="Times New Roman"/>
          <w:b/>
          <w:i w:val="false"/>
          <w:color w:val="000000"/>
        </w:rPr>
        <w:t>РЕСПУБЛИКОЙ КАЗАХСТАН</w:t>
      </w:r>
      <w:r>
        <w:br/>
      </w:r>
      <w:r>
        <w:rPr>
          <w:rFonts w:ascii="Times New Roman"/>
          <w:b/>
          <w:i w:val="false"/>
          <w:color w:val="000000"/>
        </w:rPr>
        <w:t>и</w:t>
      </w:r>
      <w:r>
        <w:br/>
      </w:r>
      <w:r>
        <w:rPr>
          <w:rFonts w:ascii="Times New Roman"/>
          <w:b/>
          <w:i w:val="false"/>
          <w:color w:val="000000"/>
        </w:rPr>
        <w:t>МЕЖДУНАРОДНЫМ БАНКОМ РЕКОНСТРУКЦИИ И РАЗВИТИЯ</w:t>
      </w:r>
      <w:r>
        <w:br/>
      </w:r>
      <w:r>
        <w:rPr>
          <w:rFonts w:ascii="Times New Roman"/>
          <w:b/>
          <w:i w:val="false"/>
          <w:color w:val="000000"/>
        </w:rPr>
        <w:t>от 20 июля 2015 года</w:t>
      </w:r>
      <w:r>
        <w:br/>
      </w:r>
      <w:r>
        <w:rPr>
          <w:rFonts w:ascii="Times New Roman"/>
          <w:b/>
          <w:i w:val="false"/>
          <w:color w:val="000000"/>
        </w:rPr>
        <w:t>СОГЛАШЕНИЕ О ЗАЙМЕ</w:t>
      </w:r>
    </w:p>
    <w:bookmarkEnd w:id="0"/>
    <w:p>
      <w:pPr>
        <w:spacing w:after="0"/>
        <w:ind w:left="0"/>
        <w:jc w:val="both"/>
      </w:pPr>
      <w:r>
        <w:rPr>
          <w:rFonts w:ascii="Times New Roman"/>
          <w:b w:val="false"/>
          <w:i w:val="false"/>
          <w:color w:val="000000"/>
          <w:sz w:val="28"/>
        </w:rPr>
        <w:t>
      Соглашение от 20 июля 2015 года между Республикой Казахстан ("Заемщик") и МЕЖДУНАРОДНЫМ БАНКОМ РЕКОНСТРУКЦИИ И РАЗВИТИЯ ("Банк"). Настоящим Заемщик и Банк договорились о следующем:</w:t>
      </w:r>
    </w:p>
    <w:bookmarkStart w:name="z1" w:id="1"/>
    <w:p>
      <w:pPr>
        <w:spacing w:after="0"/>
        <w:ind w:left="0"/>
        <w:jc w:val="left"/>
      </w:pPr>
      <w:r>
        <w:rPr>
          <w:rFonts w:ascii="Times New Roman"/>
          <w:b/>
          <w:i w:val="false"/>
          <w:color w:val="000000"/>
        </w:rPr>
        <w:t xml:space="preserve"> СТАТЬЯ I — ОБЩИЕ УСЛОВИЯ; ОПРЕДЕЛЕНИЯ</w:t>
      </w:r>
    </w:p>
    <w:bookmarkEnd w:id="1"/>
    <w:bookmarkStart w:name="z7" w:id="2"/>
    <w:p>
      <w:pPr>
        <w:spacing w:after="0"/>
        <w:ind w:left="0"/>
        <w:jc w:val="both"/>
      </w:pPr>
      <w:r>
        <w:rPr>
          <w:rFonts w:ascii="Times New Roman"/>
          <w:b w:val="false"/>
          <w:i w:val="false"/>
          <w:color w:val="000000"/>
          <w:sz w:val="28"/>
        </w:rPr>
        <w:t>
      1.01. Общие условия (определенные в приложении к настоящему Соглашению) являются неотъемлемой частью настоящего Соглашения.</w:t>
      </w:r>
    </w:p>
    <w:bookmarkEnd w:id="2"/>
    <w:bookmarkStart w:name="z8" w:id="3"/>
    <w:p>
      <w:pPr>
        <w:spacing w:after="0"/>
        <w:ind w:left="0"/>
        <w:jc w:val="both"/>
      </w:pPr>
      <w:r>
        <w:rPr>
          <w:rFonts w:ascii="Times New Roman"/>
          <w:b w:val="false"/>
          <w:i w:val="false"/>
          <w:color w:val="000000"/>
          <w:sz w:val="28"/>
        </w:rPr>
        <w:t>
      1.02. Если из контекста не следует иное, то используемые в данном Соглашении термины, начинающиеся с заглавных букв, имеют значения, приписываемые им в общих условиях или приложении к настоящему Соглашению.</w:t>
      </w:r>
    </w:p>
    <w:bookmarkEnd w:id="3"/>
    <w:bookmarkStart w:name="z2" w:id="4"/>
    <w:p>
      <w:pPr>
        <w:spacing w:after="0"/>
        <w:ind w:left="0"/>
        <w:jc w:val="left"/>
      </w:pPr>
      <w:r>
        <w:rPr>
          <w:rFonts w:ascii="Times New Roman"/>
          <w:b/>
          <w:i w:val="false"/>
          <w:color w:val="000000"/>
        </w:rPr>
        <w:t xml:space="preserve"> СТАТЬЯ II - ЗАЕМ</w:t>
      </w:r>
    </w:p>
    <w:bookmarkEnd w:id="4"/>
    <w:bookmarkStart w:name="z9" w:id="5"/>
    <w:p>
      <w:pPr>
        <w:spacing w:after="0"/>
        <w:ind w:left="0"/>
        <w:jc w:val="both"/>
      </w:pPr>
      <w:r>
        <w:rPr>
          <w:rFonts w:ascii="Times New Roman"/>
          <w:b w:val="false"/>
          <w:i w:val="false"/>
          <w:color w:val="000000"/>
          <w:sz w:val="28"/>
        </w:rPr>
        <w:t xml:space="preserve">
      2.01. На условиях, описанных в Соглашении или со ссылкой на него, Банк соглашается предоставить Заемщику сумму, равную сорока миллионам долларов США (40 000 000), и такая сумма может периодически конвертироваться посредством конвертации валют в соответствии с положениями </w:t>
      </w:r>
      <w:r>
        <w:rPr>
          <w:rFonts w:ascii="Times New Roman"/>
          <w:b w:val="false"/>
          <w:i w:val="false"/>
          <w:color w:val="000000"/>
          <w:sz w:val="28"/>
        </w:rPr>
        <w:t>раздела 2.08</w:t>
      </w:r>
      <w:r>
        <w:rPr>
          <w:rFonts w:ascii="Times New Roman"/>
          <w:b w:val="false"/>
          <w:i w:val="false"/>
          <w:color w:val="000000"/>
          <w:sz w:val="28"/>
        </w:rPr>
        <w:t xml:space="preserve"> данного Соглашения ("Заем"), с целью оказания содействия в финансировании проекта, описание которого приводится в </w:t>
      </w:r>
      <w:r>
        <w:rPr>
          <w:rFonts w:ascii="Times New Roman"/>
          <w:b w:val="false"/>
          <w:i w:val="false"/>
          <w:color w:val="000000"/>
          <w:sz w:val="28"/>
        </w:rPr>
        <w:t>дополнении 1</w:t>
      </w:r>
      <w:r>
        <w:rPr>
          <w:rFonts w:ascii="Times New Roman"/>
          <w:b w:val="false"/>
          <w:i w:val="false"/>
          <w:color w:val="000000"/>
          <w:sz w:val="28"/>
        </w:rPr>
        <w:t xml:space="preserve"> к настоящему Соглашению ("Проект").</w:t>
      </w:r>
    </w:p>
    <w:bookmarkEnd w:id="5"/>
    <w:bookmarkStart w:name="z10" w:id="6"/>
    <w:p>
      <w:pPr>
        <w:spacing w:after="0"/>
        <w:ind w:left="0"/>
        <w:jc w:val="both"/>
      </w:pPr>
      <w:r>
        <w:rPr>
          <w:rFonts w:ascii="Times New Roman"/>
          <w:b w:val="false"/>
          <w:i w:val="false"/>
          <w:color w:val="000000"/>
          <w:sz w:val="28"/>
        </w:rPr>
        <w:t xml:space="preserve">
      2.02. Заемщик вправе снимать средства займа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дополнения 2 к настоящему Соглашению. </w:t>
      </w:r>
    </w:p>
    <w:bookmarkEnd w:id="6"/>
    <w:bookmarkStart w:name="z11" w:id="7"/>
    <w:p>
      <w:pPr>
        <w:spacing w:after="0"/>
        <w:ind w:left="0"/>
        <w:jc w:val="both"/>
      </w:pP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чем через шестьдесят (60) дней после даты вступления настоящего Соглашения в силу.</w:t>
      </w:r>
    </w:p>
    <w:bookmarkEnd w:id="7"/>
    <w:bookmarkStart w:name="z12" w:id="8"/>
    <w:p>
      <w:pPr>
        <w:spacing w:after="0"/>
        <w:ind w:left="0"/>
        <w:jc w:val="both"/>
      </w:pPr>
      <w:r>
        <w:rPr>
          <w:rFonts w:ascii="Times New Roman"/>
          <w:b w:val="false"/>
          <w:i w:val="false"/>
          <w:color w:val="000000"/>
          <w:sz w:val="28"/>
        </w:rPr>
        <w:t xml:space="preserve">
      2.04. Комиссия за резервирование, подлежащая уплате Заемщиком, составляет одну четвертую одного процента (0,25%) в год от неснятого остатка Займа. </w:t>
      </w:r>
    </w:p>
    <w:bookmarkEnd w:id="8"/>
    <w:bookmarkStart w:name="z13" w:id="9"/>
    <w:p>
      <w:pPr>
        <w:spacing w:after="0"/>
        <w:ind w:left="0"/>
        <w:jc w:val="both"/>
      </w:pPr>
      <w:r>
        <w:rPr>
          <w:rFonts w:ascii="Times New Roman"/>
          <w:b w:val="false"/>
          <w:i w:val="false"/>
          <w:color w:val="000000"/>
          <w:sz w:val="28"/>
        </w:rPr>
        <w:t>
      2.05. Проценты, подлежащие выплате Заемщиком в течение каждого процентного периода, будут начисляться по ставке, равной референтной ставке для валюты Займа плюс переменный спред; при условии, что при конвертации всей или любой части основной суммы Займа проценты, подлежащие выплате Заемщиком во время периода конвертации на такую сумму, могут быть определены в соответствии с соответствующими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размер вознаграждения, подлежащего выплате Заемщиком, в таком случае рассчитывается в соответствии с положениями раздела 3.02 (е) Общих условий.</w:t>
      </w:r>
    </w:p>
    <w:bookmarkEnd w:id="9"/>
    <w:bookmarkStart w:name="z14" w:id="10"/>
    <w:p>
      <w:pPr>
        <w:spacing w:after="0"/>
        <w:ind w:left="0"/>
        <w:jc w:val="both"/>
      </w:pPr>
      <w:r>
        <w:rPr>
          <w:rFonts w:ascii="Times New Roman"/>
          <w:b w:val="false"/>
          <w:i w:val="false"/>
          <w:color w:val="000000"/>
          <w:sz w:val="28"/>
        </w:rPr>
        <w:t>
      2.06. Датами платежей являются 15 мая и 15 ноября каждого года.</w:t>
      </w:r>
    </w:p>
    <w:bookmarkEnd w:id="10"/>
    <w:bookmarkStart w:name="z15" w:id="11"/>
    <w:p>
      <w:pPr>
        <w:spacing w:after="0"/>
        <w:ind w:left="0"/>
        <w:jc w:val="both"/>
      </w:pPr>
      <w:r>
        <w:rPr>
          <w:rFonts w:ascii="Times New Roman"/>
          <w:b w:val="false"/>
          <w:i w:val="false"/>
          <w:color w:val="000000"/>
          <w:sz w:val="28"/>
        </w:rPr>
        <w:t xml:space="preserve">
      2.07. Основная сумма Займа погашается в соответствии с графиком погашения, приведенным в </w:t>
      </w:r>
      <w:r>
        <w:rPr>
          <w:rFonts w:ascii="Times New Roman"/>
          <w:b w:val="false"/>
          <w:i w:val="false"/>
          <w:color w:val="000000"/>
          <w:sz w:val="28"/>
        </w:rPr>
        <w:t>дополнении 3</w:t>
      </w:r>
      <w:r>
        <w:rPr>
          <w:rFonts w:ascii="Times New Roman"/>
          <w:b w:val="false"/>
          <w:i w:val="false"/>
          <w:color w:val="000000"/>
          <w:sz w:val="28"/>
        </w:rPr>
        <w:t xml:space="preserve"> к настоящему Соглашению.</w:t>
      </w:r>
    </w:p>
    <w:bookmarkEnd w:id="11"/>
    <w:bookmarkStart w:name="z16" w:id="12"/>
    <w:p>
      <w:pPr>
        <w:spacing w:after="0"/>
        <w:ind w:left="0"/>
        <w:jc w:val="both"/>
      </w:pPr>
      <w:r>
        <w:rPr>
          <w:rFonts w:ascii="Times New Roman"/>
          <w:b w:val="false"/>
          <w:i w:val="false"/>
          <w:color w:val="000000"/>
          <w:sz w:val="28"/>
        </w:rPr>
        <w:t>
      2.08. (a) Заемщик может в любое время запросить произвести любую из следующих конвертаций условий Займа с тем, чтобы обеспечить рациональное управление долгом:</w:t>
      </w:r>
    </w:p>
    <w:bookmarkEnd w:id="12"/>
    <w:p>
      <w:pPr>
        <w:spacing w:after="0"/>
        <w:ind w:left="0"/>
        <w:jc w:val="both"/>
      </w:pPr>
      <w:r>
        <w:rPr>
          <w:rFonts w:ascii="Times New Roman"/>
          <w:b w:val="false"/>
          <w:i w:val="false"/>
          <w:color w:val="000000"/>
          <w:sz w:val="28"/>
        </w:rPr>
        <w:t>
      (i) изменение валюты Займа всей или любой части основной суммы Займа, как снятой, так и неснятой, на одобренную валюту;</w:t>
      </w:r>
    </w:p>
    <w:p>
      <w:pPr>
        <w:spacing w:after="0"/>
        <w:ind w:left="0"/>
        <w:jc w:val="both"/>
      </w:pPr>
      <w:r>
        <w:rPr>
          <w:rFonts w:ascii="Times New Roman"/>
          <w:b w:val="false"/>
          <w:i w:val="false"/>
          <w:color w:val="000000"/>
          <w:sz w:val="28"/>
        </w:rPr>
        <w:t xml:space="preserve">
      (ii) изменение базиса процентной ставки, применимого: (A) ко всей или любой части снятой и непогашенной основной суммы Займа с переменной ставки на фиксированную ставку или наоборот; или (B)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(C)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w:t>
      </w:r>
    </w:p>
    <w:p>
      <w:pPr>
        <w:spacing w:after="0"/>
        <w:ind w:left="0"/>
        <w:jc w:val="both"/>
      </w:pPr>
      <w:r>
        <w:rPr>
          <w:rFonts w:ascii="Times New Roman"/>
          <w:b w:val="false"/>
          <w:i w:val="false"/>
          <w:color w:val="000000"/>
          <w:sz w:val="28"/>
        </w:rPr>
        <w:t>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w:t>
      </w:r>
    </w:p>
    <w:p>
      <w:pPr>
        <w:spacing w:after="0"/>
        <w:ind w:left="0"/>
        <w:jc w:val="both"/>
      </w:pPr>
      <w:r>
        <w:rPr>
          <w:rFonts w:ascii="Times New Roman"/>
          <w:b w:val="false"/>
          <w:i w:val="false"/>
          <w:color w:val="000000"/>
          <w:sz w:val="28"/>
        </w:rPr>
        <w:t>
      (b) Любое изменение, запрошенное в соответствии с пунктом (a) настоящего раздела, которое принято Банком, будет считаться "Конвертацией", как определено в Общих условиях, и вступит в силу в соответствии с положениями Статьи IV Общих условий и Руководства по конвертации.</w:t>
      </w:r>
    </w:p>
    <w:bookmarkStart w:name="z3" w:id="13"/>
    <w:p>
      <w:pPr>
        <w:spacing w:after="0"/>
        <w:ind w:left="0"/>
        <w:jc w:val="left"/>
      </w:pPr>
      <w:r>
        <w:rPr>
          <w:rFonts w:ascii="Times New Roman"/>
          <w:b/>
          <w:i w:val="false"/>
          <w:color w:val="000000"/>
        </w:rPr>
        <w:t xml:space="preserve"> СТАТЬЯ III — ПРОЕКТ</w:t>
      </w:r>
    </w:p>
    <w:bookmarkEnd w:id="13"/>
    <w:bookmarkStart w:name="z17" w:id="14"/>
    <w:p>
      <w:pPr>
        <w:spacing w:after="0"/>
        <w:ind w:left="0"/>
        <w:jc w:val="both"/>
      </w:pPr>
      <w:r>
        <w:rPr>
          <w:rFonts w:ascii="Times New Roman"/>
          <w:b w:val="false"/>
          <w:i w:val="false"/>
          <w:color w:val="000000"/>
          <w:sz w:val="28"/>
        </w:rPr>
        <w:t>
      3.01. Заемщик заявляет о своей приверженности цели Проекта. С этой целью Заемщик реализует Проект через Министерство национальной экономики (МНЭ) в соответствии с положениями Статьи V Общих условий.</w:t>
      </w:r>
    </w:p>
    <w:bookmarkEnd w:id="14"/>
    <w:bookmarkStart w:name="z18" w:id="15"/>
    <w:p>
      <w:pPr>
        <w:spacing w:after="0"/>
        <w:ind w:left="0"/>
        <w:jc w:val="both"/>
      </w:pPr>
      <w:r>
        <w:rPr>
          <w:rFonts w:ascii="Times New Roman"/>
          <w:b w:val="false"/>
          <w:i w:val="false"/>
          <w:color w:val="000000"/>
          <w:sz w:val="28"/>
        </w:rPr>
        <w:t xml:space="preserve">
      3.02. Без ограничения для положений </w:t>
      </w:r>
      <w:r>
        <w:rPr>
          <w:rFonts w:ascii="Times New Roman"/>
          <w:b w:val="false"/>
          <w:i w:val="false"/>
          <w:color w:val="000000"/>
          <w:sz w:val="28"/>
        </w:rPr>
        <w:t>раздела 3.01</w:t>
      </w:r>
      <w:r>
        <w:rPr>
          <w:rFonts w:ascii="Times New Roman"/>
          <w:b w:val="false"/>
          <w:i w:val="false"/>
          <w:color w:val="000000"/>
          <w:sz w:val="28"/>
        </w:rPr>
        <w:t xml:space="preserve"> настоящего Соглашения, если иное не согласовано между Заемщиком и Банком, Заемщик через МНЭ обеспечит реализацию Проекта в соответствии с положения дополнения 2 к настоящему Соглашению.</w:t>
      </w:r>
    </w:p>
    <w:bookmarkEnd w:id="15"/>
    <w:bookmarkStart w:name="z4" w:id="16"/>
    <w:p>
      <w:pPr>
        <w:spacing w:after="0"/>
        <w:ind w:left="0"/>
        <w:jc w:val="left"/>
      </w:pPr>
      <w:r>
        <w:rPr>
          <w:rFonts w:ascii="Times New Roman"/>
          <w:b/>
          <w:i w:val="false"/>
          <w:color w:val="000000"/>
        </w:rPr>
        <w:t xml:space="preserve"> СТАТЬЯ IV – ВСТУПЛЕНИЕ В СИЛУ; ПРЕКРАЩЕНИЕ ДЕЙСТВИЯ</w:t>
      </w:r>
    </w:p>
    <w:bookmarkEnd w:id="16"/>
    <w:bookmarkStart w:name="z19" w:id="17"/>
    <w:p>
      <w:pPr>
        <w:spacing w:after="0"/>
        <w:ind w:left="0"/>
        <w:jc w:val="both"/>
      </w:pPr>
      <w:r>
        <w:rPr>
          <w:rFonts w:ascii="Times New Roman"/>
          <w:b w:val="false"/>
          <w:i w:val="false"/>
          <w:color w:val="000000"/>
          <w:sz w:val="28"/>
        </w:rPr>
        <w:t>
      4.01. Дополнительными условиями вступления в силу являются следующие:</w:t>
      </w:r>
    </w:p>
    <w:bookmarkEnd w:id="17"/>
    <w:p>
      <w:pPr>
        <w:spacing w:after="0"/>
        <w:ind w:left="0"/>
        <w:jc w:val="both"/>
      </w:pPr>
      <w:r>
        <w:rPr>
          <w:rFonts w:ascii="Times New Roman"/>
          <w:b w:val="false"/>
          <w:i w:val="false"/>
          <w:color w:val="000000"/>
          <w:sz w:val="28"/>
        </w:rPr>
        <w:t xml:space="preserve">
      (a) МНЭ издало приказ о создании ГРП, как указано в </w:t>
      </w:r>
      <w:r>
        <w:rPr>
          <w:rFonts w:ascii="Times New Roman"/>
          <w:b w:val="false"/>
          <w:i w:val="false"/>
          <w:color w:val="000000"/>
          <w:sz w:val="28"/>
        </w:rPr>
        <w:t>разделе I.A.2.</w:t>
      </w:r>
      <w:r>
        <w:rPr>
          <w:rFonts w:ascii="Times New Roman"/>
          <w:b w:val="false"/>
          <w:i w:val="false"/>
          <w:color w:val="000000"/>
          <w:sz w:val="28"/>
        </w:rPr>
        <w:t xml:space="preserve"> дополнения 2 к настоящему Соглашению;</w:t>
      </w:r>
    </w:p>
    <w:p>
      <w:pPr>
        <w:spacing w:after="0"/>
        <w:ind w:left="0"/>
        <w:jc w:val="both"/>
      </w:pPr>
      <w:r>
        <w:rPr>
          <w:rFonts w:ascii="Times New Roman"/>
          <w:b w:val="false"/>
          <w:i w:val="false"/>
          <w:color w:val="000000"/>
          <w:sz w:val="28"/>
        </w:rPr>
        <w:t xml:space="preserve">
      (b) Заемщик через МНЭ создал Комиссию по реализации проекта как указано в </w:t>
      </w:r>
      <w:r>
        <w:rPr>
          <w:rFonts w:ascii="Times New Roman"/>
          <w:b w:val="false"/>
          <w:i w:val="false"/>
          <w:color w:val="000000"/>
          <w:sz w:val="28"/>
        </w:rPr>
        <w:t>разделе I.A.2.</w:t>
      </w:r>
      <w:r>
        <w:rPr>
          <w:rFonts w:ascii="Times New Roman"/>
          <w:b w:val="false"/>
          <w:i w:val="false"/>
          <w:color w:val="000000"/>
          <w:sz w:val="28"/>
        </w:rPr>
        <w:t xml:space="preserve"> дополнения 2 к настоящему Соглашению;</w:t>
      </w:r>
    </w:p>
    <w:p>
      <w:pPr>
        <w:spacing w:after="0"/>
        <w:ind w:left="0"/>
        <w:jc w:val="both"/>
      </w:pPr>
      <w:r>
        <w:rPr>
          <w:rFonts w:ascii="Times New Roman"/>
          <w:b w:val="false"/>
          <w:i w:val="false"/>
          <w:color w:val="000000"/>
          <w:sz w:val="28"/>
        </w:rPr>
        <w:t>
      (c) Заемщик через МНЭ принял Руководство по реализации Проекта на условиях, приемлемых для Банка; и</w:t>
      </w:r>
    </w:p>
    <w:p>
      <w:pPr>
        <w:spacing w:after="0"/>
        <w:ind w:left="0"/>
        <w:jc w:val="both"/>
      </w:pPr>
      <w:r>
        <w:rPr>
          <w:rFonts w:ascii="Times New Roman"/>
          <w:b w:val="false"/>
          <w:i w:val="false"/>
          <w:color w:val="000000"/>
          <w:sz w:val="28"/>
        </w:rPr>
        <w:t>
      (d) МНЭ отобрало специалиста по финансовому управлению и специалиста по закупкам для ГРП на условиях и с квалификацией, приемлемыми для Банка.</w:t>
      </w:r>
    </w:p>
    <w:bookmarkStart w:name="z20" w:id="18"/>
    <w:p>
      <w:pPr>
        <w:spacing w:after="0"/>
        <w:ind w:left="0"/>
        <w:jc w:val="both"/>
      </w:pPr>
      <w:r>
        <w:rPr>
          <w:rFonts w:ascii="Times New Roman"/>
          <w:b w:val="false"/>
          <w:i w:val="false"/>
          <w:color w:val="000000"/>
          <w:sz w:val="28"/>
        </w:rPr>
        <w:t>
      4.02. Последним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 Последний срок вступления настоящего Соглашения в силу может быть продлен по согласованию между Заемщиком и Банком.</w:t>
      </w:r>
    </w:p>
    <w:bookmarkEnd w:id="18"/>
    <w:bookmarkStart w:name="z5" w:id="19"/>
    <w:p>
      <w:pPr>
        <w:spacing w:after="0"/>
        <w:ind w:left="0"/>
        <w:jc w:val="left"/>
      </w:pPr>
      <w:r>
        <w:rPr>
          <w:rFonts w:ascii="Times New Roman"/>
          <w:b/>
          <w:i w:val="false"/>
          <w:color w:val="000000"/>
        </w:rPr>
        <w:t xml:space="preserve"> СТАТЬЯ V - ПРЕДСТАВИТЕЛЬ; АДРЕСА</w:t>
      </w:r>
    </w:p>
    <w:bookmarkEnd w:id="19"/>
    <w:bookmarkStart w:name="z21" w:id="20"/>
    <w:p>
      <w:pPr>
        <w:spacing w:after="0"/>
        <w:ind w:left="0"/>
        <w:jc w:val="both"/>
      </w:pPr>
      <w:r>
        <w:rPr>
          <w:rFonts w:ascii="Times New Roman"/>
          <w:b w:val="false"/>
          <w:i w:val="false"/>
          <w:color w:val="000000"/>
          <w:sz w:val="28"/>
        </w:rPr>
        <w:t xml:space="preserve">
      5.01. Представителем Заемщика является Министр финансов Республики Казахстан. </w:t>
      </w:r>
    </w:p>
    <w:bookmarkEnd w:id="20"/>
    <w:bookmarkStart w:name="z22" w:id="21"/>
    <w:p>
      <w:pPr>
        <w:spacing w:after="0"/>
        <w:ind w:left="0"/>
        <w:jc w:val="both"/>
      </w:pPr>
      <w:r>
        <w:rPr>
          <w:rFonts w:ascii="Times New Roman"/>
          <w:b w:val="false"/>
          <w:i w:val="false"/>
          <w:color w:val="000000"/>
          <w:sz w:val="28"/>
        </w:rPr>
        <w:t>
      5.02. Адрес Заемщика:</w:t>
      </w:r>
    </w:p>
    <w:bookmarkEnd w:id="21"/>
    <w:p>
      <w:pPr>
        <w:spacing w:after="0"/>
        <w:ind w:left="0"/>
        <w:jc w:val="both"/>
      </w:pPr>
      <w:r>
        <w:rPr>
          <w:rFonts w:ascii="Times New Roman"/>
          <w:b w:val="false"/>
          <w:i w:val="false"/>
          <w:color w:val="000000"/>
          <w:sz w:val="28"/>
        </w:rPr>
        <w:t>
      Министерство финансов</w:t>
      </w:r>
    </w:p>
    <w:p>
      <w:pPr>
        <w:spacing w:after="0"/>
        <w:ind w:left="0"/>
        <w:jc w:val="both"/>
      </w:pPr>
      <w:r>
        <w:rPr>
          <w:rFonts w:ascii="Times New Roman"/>
          <w:b w:val="false"/>
          <w:i w:val="false"/>
          <w:color w:val="000000"/>
          <w:sz w:val="28"/>
        </w:rPr>
        <w:t xml:space="preserve">
      проспект Победы, 11 </w:t>
      </w:r>
    </w:p>
    <w:p>
      <w:pPr>
        <w:spacing w:after="0"/>
        <w:ind w:left="0"/>
        <w:jc w:val="both"/>
      </w:pPr>
      <w:r>
        <w:rPr>
          <w:rFonts w:ascii="Times New Roman"/>
          <w:b w:val="false"/>
          <w:i w:val="false"/>
          <w:color w:val="000000"/>
          <w:sz w:val="28"/>
        </w:rPr>
        <w:t xml:space="preserve">
      Астана, 010000 </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(FILIN)       (7) (7172) 717785</w:t>
      </w:r>
    </w:p>
    <w:bookmarkStart w:name="z23" w:id="22"/>
    <w:p>
      <w:pPr>
        <w:spacing w:after="0"/>
        <w:ind w:left="0"/>
        <w:jc w:val="both"/>
      </w:pPr>
      <w:r>
        <w:rPr>
          <w:rFonts w:ascii="Times New Roman"/>
          <w:b w:val="false"/>
          <w:i w:val="false"/>
          <w:color w:val="000000"/>
          <w:sz w:val="28"/>
        </w:rPr>
        <w:t>
            5.03. Адрес Банка:</w:t>
      </w:r>
    </w:p>
    <w:bookmarkEnd w:id="22"/>
    <w:p>
      <w:pPr>
        <w:spacing w:after="0"/>
        <w:ind w:left="0"/>
        <w:jc w:val="both"/>
      </w:pPr>
      <w:r>
        <w:rPr>
          <w:rFonts w:ascii="Times New Roman"/>
          <w:b w:val="false"/>
          <w:i w:val="false"/>
          <w:color w:val="000000"/>
          <w:sz w:val="28"/>
        </w:rPr>
        <w:t xml:space="preserve">
            Международный Банк Реконструкции и Развития </w:t>
      </w:r>
    </w:p>
    <w:p>
      <w:pPr>
        <w:spacing w:after="0"/>
        <w:ind w:left="0"/>
        <w:jc w:val="both"/>
      </w:pPr>
      <w:r>
        <w:rPr>
          <w:rFonts w:ascii="Times New Roman"/>
          <w:b w:val="false"/>
          <w:i w:val="false"/>
          <w:color w:val="000000"/>
          <w:sz w:val="28"/>
        </w:rPr>
        <w:t>
            Улица H 1818, N.W.</w:t>
      </w:r>
    </w:p>
    <w:p>
      <w:pPr>
        <w:spacing w:after="0"/>
        <w:ind w:left="0"/>
        <w:jc w:val="both"/>
      </w:pPr>
      <w:r>
        <w:rPr>
          <w:rFonts w:ascii="Times New Roman"/>
          <w:b w:val="false"/>
          <w:i w:val="false"/>
          <w:color w:val="000000"/>
          <w:sz w:val="28"/>
        </w:rPr>
        <w:t>
            Вашингтон, округ Колумбия, 20433</w:t>
      </w:r>
    </w:p>
    <w:p>
      <w:pPr>
        <w:spacing w:after="0"/>
        <w:ind w:left="0"/>
        <w:jc w:val="both"/>
      </w:pPr>
      <w:r>
        <w:rPr>
          <w:rFonts w:ascii="Times New Roman"/>
          <w:b w:val="false"/>
          <w:i w:val="false"/>
          <w:color w:val="000000"/>
          <w:sz w:val="28"/>
        </w:rPr>
        <w:t>
            Соединенные Штаты Америки</w:t>
      </w:r>
    </w:p>
    <w:p>
      <w:pPr>
        <w:spacing w:after="0"/>
        <w:ind w:left="0"/>
        <w:jc w:val="both"/>
      </w:pPr>
      <w:r>
        <w:rPr>
          <w:rFonts w:ascii="Times New Roman"/>
          <w:b w:val="false"/>
          <w:i w:val="false"/>
          <w:color w:val="000000"/>
          <w:sz w:val="28"/>
        </w:rPr>
        <w:t>
            Телеграфный адрес:           Телекс:            Факс:</w:t>
      </w:r>
    </w:p>
    <w:p>
      <w:pPr>
        <w:spacing w:after="0"/>
        <w:ind w:left="0"/>
        <w:jc w:val="both"/>
      </w:pPr>
      <w:r>
        <w:rPr>
          <w:rFonts w:ascii="Times New Roman"/>
          <w:b w:val="false"/>
          <w:i w:val="false"/>
          <w:color w:val="000000"/>
          <w:sz w:val="28"/>
        </w:rPr>
        <w:t xml:space="preserve">
            INTBAFRAD                    248423(MCI) или    1-202-477-6391 </w:t>
      </w:r>
    </w:p>
    <w:p>
      <w:pPr>
        <w:spacing w:after="0"/>
        <w:ind w:left="0"/>
        <w:jc w:val="both"/>
      </w:pP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______________, ___________, в день и год, указанные выше.</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Кем:</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Ф.И.О.: ____________________________</w:t>
      </w:r>
    </w:p>
    <w:p>
      <w:pPr>
        <w:spacing w:after="0"/>
        <w:ind w:left="0"/>
        <w:jc w:val="both"/>
      </w:pPr>
      <w:r>
        <w:rPr>
          <w:rFonts w:ascii="Times New Roman"/>
          <w:b w:val="false"/>
          <w:i w:val="false"/>
          <w:color w:val="000000"/>
          <w:sz w:val="28"/>
        </w:rPr>
        <w:t>
      Должность: _________________________</w:t>
      </w:r>
    </w:p>
    <w:p>
      <w:pPr>
        <w:spacing w:after="0"/>
        <w:ind w:left="0"/>
        <w:jc w:val="both"/>
      </w:pPr>
      <w:r>
        <w:rPr>
          <w:rFonts w:ascii="Times New Roman"/>
          <w:b w:val="false"/>
          <w:i w:val="false"/>
          <w:color w:val="000000"/>
          <w:sz w:val="28"/>
        </w:rPr>
        <w:t>
      МЕЖДУНАРОДНЫЙ БАНК</w:t>
      </w:r>
    </w:p>
    <w:p>
      <w:pPr>
        <w:spacing w:after="0"/>
        <w:ind w:left="0"/>
        <w:jc w:val="both"/>
      </w:pPr>
      <w:r>
        <w:rPr>
          <w:rFonts w:ascii="Times New Roman"/>
          <w:b w:val="false"/>
          <w:i w:val="false"/>
          <w:color w:val="000000"/>
          <w:sz w:val="28"/>
        </w:rPr>
        <w:t>
      РЕКОНСТРУКЦИИ И РАЗВИТИЯ</w:t>
      </w:r>
    </w:p>
    <w:p>
      <w:pPr>
        <w:spacing w:after="0"/>
        <w:ind w:left="0"/>
        <w:jc w:val="both"/>
      </w:pPr>
      <w:r>
        <w:rPr>
          <w:rFonts w:ascii="Times New Roman"/>
          <w:b w:val="false"/>
          <w:i w:val="false"/>
          <w:color w:val="000000"/>
          <w:sz w:val="28"/>
        </w:rPr>
        <w:t>
      Кем:</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Ф.И.О.: ____________________________</w:t>
      </w:r>
    </w:p>
    <w:p>
      <w:pPr>
        <w:spacing w:after="0"/>
        <w:ind w:left="0"/>
        <w:jc w:val="both"/>
      </w:pPr>
      <w:r>
        <w:rPr>
          <w:rFonts w:ascii="Times New Roman"/>
          <w:b w:val="false"/>
          <w:i w:val="false"/>
          <w:color w:val="000000"/>
          <w:sz w:val="28"/>
        </w:rPr>
        <w:t>
      Должность: _________________________</w:t>
      </w:r>
    </w:p>
    <w:bookmarkStart w:name="z100" w:id="23"/>
    <w:p>
      <w:pPr>
        <w:spacing w:after="0"/>
        <w:ind w:left="0"/>
        <w:jc w:val="left"/>
      </w:pPr>
      <w:r>
        <w:rPr>
          <w:rFonts w:ascii="Times New Roman"/>
          <w:b/>
          <w:i w:val="false"/>
          <w:color w:val="000000"/>
        </w:rPr>
        <w:t xml:space="preserve"> ДОПОЛНЕНИЕ 1</w:t>
      </w:r>
      <w:r>
        <w:br/>
      </w:r>
      <w:r>
        <w:rPr>
          <w:rFonts w:ascii="Times New Roman"/>
          <w:b/>
          <w:i w:val="false"/>
          <w:color w:val="000000"/>
        </w:rPr>
        <w:t>Описание проекта</w:t>
      </w:r>
    </w:p>
    <w:bookmarkEnd w:id="23"/>
    <w:p>
      <w:pPr>
        <w:spacing w:after="0"/>
        <w:ind w:left="0"/>
        <w:jc w:val="both"/>
      </w:pPr>
      <w:r>
        <w:rPr>
          <w:rFonts w:ascii="Times New Roman"/>
          <w:b w:val="false"/>
          <w:i w:val="false"/>
          <w:color w:val="000000"/>
          <w:sz w:val="28"/>
        </w:rPr>
        <w:t>
      Цель проекта: повышение конкурентоспособности и потенциала целевых малых и средних предприятий на территории Заемщика.</w:t>
      </w:r>
    </w:p>
    <w:p>
      <w:pPr>
        <w:spacing w:after="0"/>
        <w:ind w:left="0"/>
        <w:jc w:val="both"/>
      </w:pPr>
      <w:r>
        <w:rPr>
          <w:rFonts w:ascii="Times New Roman"/>
          <w:b w:val="false"/>
          <w:i w:val="false"/>
          <w:color w:val="000000"/>
          <w:sz w:val="28"/>
        </w:rPr>
        <w:t>
      Проект состоит из следующих частей:</w:t>
      </w:r>
    </w:p>
    <w:bookmarkStart w:name="z24"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1 Программа наращивания потенциала МСП</w:t>
      </w:r>
    </w:p>
    <w:bookmarkEnd w:id="24"/>
    <w:p>
      <w:pPr>
        <w:spacing w:after="0"/>
        <w:ind w:left="0"/>
        <w:jc w:val="both"/>
      </w:pPr>
      <w:r>
        <w:rPr>
          <w:rFonts w:ascii="Times New Roman"/>
          <w:b w:val="false"/>
          <w:i w:val="false"/>
          <w:color w:val="000000"/>
          <w:sz w:val="28"/>
        </w:rPr>
        <w:t xml:space="preserve">
      Усиление и расширение существующих консультационных программ для МСП, как указано в руководстве по реализации проекта, включая сеть бизнес консультантов, путем предоставления товаров, обучения и консультационных услуг. </w:t>
      </w:r>
    </w:p>
    <w:bookmarkStart w:name="z25"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2 Взаимосвязи МСП в конкурентоспособных секторах</w:t>
      </w:r>
    </w:p>
    <w:bookmarkEnd w:id="25"/>
    <w:bookmarkStart w:name="z26" w:id="26"/>
    <w:p>
      <w:pPr>
        <w:spacing w:after="0"/>
        <w:ind w:left="0"/>
        <w:jc w:val="both"/>
      </w:pPr>
      <w:r>
        <w:rPr>
          <w:rFonts w:ascii="Times New Roman"/>
          <w:b w:val="false"/>
          <w:i w:val="false"/>
          <w:color w:val="000000"/>
          <w:sz w:val="28"/>
        </w:rPr>
        <w:t>
      </w:t>
      </w:r>
      <w:r>
        <w:rPr>
          <w:rFonts w:ascii="Times New Roman"/>
          <w:b w:val="false"/>
          <w:i w:val="false"/>
          <w:color w:val="000000"/>
          <w:sz w:val="28"/>
          <w:u w:val="single"/>
        </w:rPr>
        <w:t>1. Мероприятия по развитию поставщиков</w:t>
      </w:r>
      <w:r>
        <w:rPr>
          <w:rFonts w:ascii="Times New Roman"/>
          <w:b w:val="false"/>
          <w:i w:val="false"/>
          <w:color w:val="000000"/>
          <w:sz w:val="28"/>
        </w:rPr>
        <w:t>: реализация мероприятий по развитию поставщиков, предназначенных для повышения способности МСП участвовать в местных операциях транснациональных корпораций, крупных отечественных компаний и государственных предприятий, путем повышения квалификации поставщиков, совершенствования деловых и управленческих практик, обеспечения связи и отношений между потенциальными поставщиками и крупными покупателями МСП, и создания офиса по развитию поставщиков путем предоставления товаров, обучения и консультационных услуг.</w:t>
      </w:r>
    </w:p>
    <w:bookmarkEnd w:id="26"/>
    <w:bookmarkStart w:name="z27"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2. Конкурентоспособные сектора</w:t>
      </w:r>
      <w:r>
        <w:rPr>
          <w:rFonts w:ascii="Times New Roman"/>
          <w:b w:val="false"/>
          <w:i w:val="false"/>
          <w:color w:val="000000"/>
          <w:sz w:val="28"/>
        </w:rPr>
        <w:t xml:space="preserve">: развитие увеличения производства продукции с высоким уровнем добавленной стоимости и повышение конкурентоспособности МСП в несырьевых секторах и вокруг приоритетных географических районов через укрепление институционального потенциала путем предоставления обучения и консультационных услуг. </w:t>
      </w:r>
    </w:p>
    <w:bookmarkEnd w:id="27"/>
    <w:bookmarkStart w:name="z28"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3. Стратегическая оценка факторинга</w:t>
      </w:r>
      <w:r>
        <w:rPr>
          <w:rFonts w:ascii="Times New Roman"/>
          <w:b w:val="false"/>
          <w:i w:val="false"/>
          <w:color w:val="000000"/>
          <w:sz w:val="28"/>
        </w:rPr>
        <w:t>: проведение детальной оценки для факторинга и возвратного факторинга на территории Заемщика, включая онлайн платформу для регистрации МСП и проверки их дебиторской задолженности.</w:t>
      </w:r>
    </w:p>
    <w:bookmarkEnd w:id="28"/>
    <w:bookmarkStart w:name="z29" w:id="29"/>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3 Оценка воздействия и мониторинг программ для МСП</w:t>
      </w:r>
    </w:p>
    <w:bookmarkEnd w:id="29"/>
    <w:p>
      <w:pPr>
        <w:spacing w:after="0"/>
        <w:ind w:left="0"/>
        <w:jc w:val="both"/>
      </w:pPr>
      <w:r>
        <w:rPr>
          <w:rFonts w:ascii="Times New Roman"/>
          <w:b w:val="false"/>
          <w:i w:val="false"/>
          <w:color w:val="000000"/>
          <w:sz w:val="28"/>
        </w:rPr>
        <w:t>
      Усиление мониторинга и оценки, диалога между государственным и частным секторами и прозрачности разработки политики в отношении МСП посредством предоставления обучения и консультационных услуг.</w:t>
      </w:r>
    </w:p>
    <w:bookmarkStart w:name="z30"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4 Управление Проектом</w:t>
      </w:r>
    </w:p>
    <w:bookmarkEnd w:id="30"/>
    <w:p>
      <w:pPr>
        <w:spacing w:after="0"/>
        <w:ind w:left="0"/>
        <w:jc w:val="both"/>
      </w:pPr>
      <w:r>
        <w:rPr>
          <w:rFonts w:ascii="Times New Roman"/>
          <w:b w:val="false"/>
          <w:i w:val="false"/>
          <w:color w:val="000000"/>
          <w:sz w:val="28"/>
        </w:rPr>
        <w:t>
      Предоставление консультационных услуг, обучение и оплата эксплуатационных расходов для внедрения, управления и координации проекта.</w:t>
      </w:r>
    </w:p>
    <w:bookmarkStart w:name="z200" w:id="31"/>
    <w:p>
      <w:pPr>
        <w:spacing w:after="0"/>
        <w:ind w:left="0"/>
        <w:jc w:val="left"/>
      </w:pPr>
      <w:r>
        <w:rPr>
          <w:rFonts w:ascii="Times New Roman"/>
          <w:b/>
          <w:i w:val="false"/>
          <w:color w:val="000000"/>
        </w:rPr>
        <w:t xml:space="preserve"> ДОПОЛНЕНИЕ 2</w:t>
      </w:r>
      <w:r>
        <w:br/>
      </w:r>
      <w:r>
        <w:rPr>
          <w:rFonts w:ascii="Times New Roman"/>
          <w:b/>
          <w:i w:val="false"/>
          <w:color w:val="000000"/>
        </w:rPr>
        <w:t>Исполнение Проекта</w:t>
      </w:r>
      <w:r>
        <w:br/>
      </w:r>
      <w:r>
        <w:rPr>
          <w:rFonts w:ascii="Times New Roman"/>
          <w:b/>
          <w:i w:val="false"/>
          <w:color w:val="000000"/>
        </w:rPr>
        <w:t>Раздел I. Механизмы реализации</w:t>
      </w:r>
    </w:p>
    <w:bookmarkEnd w:id="31"/>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A. Институциональные механизмы</w:t>
      </w:r>
    </w:p>
    <w:bookmarkEnd w:id="32"/>
    <w:bookmarkStart w:name="z33" w:id="33"/>
    <w:p>
      <w:pPr>
        <w:spacing w:after="0"/>
        <w:ind w:left="0"/>
        <w:jc w:val="both"/>
      </w:pPr>
      <w:r>
        <w:rPr>
          <w:rFonts w:ascii="Times New Roman"/>
          <w:b w:val="false"/>
          <w:i w:val="false"/>
          <w:color w:val="000000"/>
          <w:sz w:val="28"/>
        </w:rPr>
        <w:t xml:space="preserve">
      1. Заемщик через МНЭ: </w:t>
      </w:r>
    </w:p>
    <w:bookmarkEnd w:id="33"/>
    <w:p>
      <w:pPr>
        <w:spacing w:after="0"/>
        <w:ind w:left="0"/>
        <w:jc w:val="both"/>
      </w:pPr>
      <w:r>
        <w:rPr>
          <w:rFonts w:ascii="Times New Roman"/>
          <w:b w:val="false"/>
          <w:i w:val="false"/>
          <w:color w:val="000000"/>
          <w:sz w:val="28"/>
        </w:rPr>
        <w:t>
      (a) (i) создаст и в дальнейшем задействует и будет поддерживать ГРП до момента завершения проекта; и (ii) обеспечит, чтобы все функции ГРП в течение всего времени выполнялись должным образом и при наличии всех необходимых кадровых (включая специалистов по финансовому управлению и закупкам) и финансовых ресурсов, приемлемых для Банка;</w:t>
      </w:r>
    </w:p>
    <w:p>
      <w:pPr>
        <w:spacing w:after="0"/>
        <w:ind w:left="0"/>
        <w:jc w:val="both"/>
      </w:pPr>
      <w:r>
        <w:rPr>
          <w:rFonts w:ascii="Times New Roman"/>
          <w:b w:val="false"/>
          <w:i w:val="false"/>
          <w:color w:val="000000"/>
          <w:sz w:val="28"/>
        </w:rPr>
        <w:t>
      (b) не позднее шестидесяти (60) дней после даты вступления в силу Займа, Заемщик должен обеспечить, чтобы в ГРП были наняты специалисты по финансовому управлению и закупкам, согласно пункту (а) выше, с техническим заданием и квалификациями, приемлемыми для Банка; и</w:t>
      </w:r>
    </w:p>
    <w:p>
      <w:pPr>
        <w:spacing w:after="0"/>
        <w:ind w:left="0"/>
        <w:jc w:val="both"/>
      </w:pPr>
      <w:r>
        <w:rPr>
          <w:rFonts w:ascii="Times New Roman"/>
          <w:b w:val="false"/>
          <w:i w:val="false"/>
          <w:color w:val="000000"/>
          <w:sz w:val="28"/>
        </w:rPr>
        <w:t>
      (с) не позднее шестидесяти (60) дней после даты вступления в силу Займа, Заемщик должен обеспечить включение модуля, позволяющего осуществлять финансовое управление и представлять финансовую отчетность по проекту, в программное обеспечение бухгалтерского учета МНЭ на условиях, приемлемых для Банка.</w:t>
      </w:r>
    </w:p>
    <w:bookmarkStart w:name="z34" w:id="34"/>
    <w:p>
      <w:pPr>
        <w:spacing w:after="0"/>
        <w:ind w:left="0"/>
        <w:jc w:val="both"/>
      </w:pPr>
      <w:r>
        <w:rPr>
          <w:rFonts w:ascii="Times New Roman"/>
          <w:b w:val="false"/>
          <w:i w:val="false"/>
          <w:color w:val="000000"/>
          <w:sz w:val="28"/>
        </w:rPr>
        <w:t xml:space="preserve">
      2. Заемщик создаст и в дальнейшем будет поддерживать Комиссию по реализации проекта с составом (включая представителей соответствующих министерств и ведомств Заемщика и под председательством вице-министра МНЭ), функциями и обязанностями, приемлемыми для Банка, как указано в руководстве по реализации проекта. </w:t>
      </w:r>
    </w:p>
    <w:bookmarkEnd w:id="34"/>
    <w:bookmarkStart w:name="z35" w:id="35"/>
    <w:p>
      <w:pPr>
        <w:spacing w:after="0"/>
        <w:ind w:left="0"/>
        <w:jc w:val="both"/>
      </w:pPr>
      <w:r>
        <w:rPr>
          <w:rFonts w:ascii="Times New Roman"/>
          <w:b w:val="false"/>
          <w:i w:val="false"/>
          <w:color w:val="000000"/>
          <w:sz w:val="28"/>
        </w:rPr>
        <w:t>
      3. Заемщик через МНЭ должен:</w:t>
      </w:r>
    </w:p>
    <w:bookmarkEnd w:id="35"/>
    <w:p>
      <w:pPr>
        <w:spacing w:after="0"/>
        <w:ind w:left="0"/>
        <w:jc w:val="both"/>
      </w:pPr>
      <w:r>
        <w:rPr>
          <w:rFonts w:ascii="Times New Roman"/>
          <w:b w:val="false"/>
          <w:i w:val="false"/>
          <w:color w:val="000000"/>
          <w:sz w:val="28"/>
        </w:rPr>
        <w:t>
      (а) принять и поддерживать Руководство по реализации Проекта в форме и по содержанию удовлетворяющего требования Банка;</w:t>
      </w:r>
    </w:p>
    <w:p>
      <w:pPr>
        <w:spacing w:after="0"/>
        <w:ind w:left="0"/>
        <w:jc w:val="both"/>
      </w:pPr>
      <w:r>
        <w:rPr>
          <w:rFonts w:ascii="Times New Roman"/>
          <w:b w:val="false"/>
          <w:i w:val="false"/>
          <w:color w:val="000000"/>
          <w:sz w:val="28"/>
        </w:rPr>
        <w:t xml:space="preserve">
      (b) вести Проект в соответствии с положениями Руководства по реализации Проекта; и </w:t>
      </w:r>
    </w:p>
    <w:p>
      <w:pPr>
        <w:spacing w:after="0"/>
        <w:ind w:left="0"/>
        <w:jc w:val="both"/>
      </w:pPr>
      <w:r>
        <w:rPr>
          <w:rFonts w:ascii="Times New Roman"/>
          <w:b w:val="false"/>
          <w:i w:val="false"/>
          <w:color w:val="000000"/>
          <w:sz w:val="28"/>
        </w:rPr>
        <w:t>
      (с) не вправе переуступать, вносить изменения, отменять или отказываться от любых положений РРП без предварительного согласования с Банком.</w:t>
      </w:r>
    </w:p>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B. Противодействие коррупции</w:t>
      </w:r>
    </w:p>
    <w:bookmarkEnd w:id="36"/>
    <w:p>
      <w:pPr>
        <w:spacing w:after="0"/>
        <w:ind w:left="0"/>
        <w:jc w:val="both"/>
      </w:pPr>
      <w:r>
        <w:rPr>
          <w:rFonts w:ascii="Times New Roman"/>
          <w:b w:val="false"/>
          <w:i w:val="false"/>
          <w:color w:val="000000"/>
          <w:sz w:val="28"/>
        </w:rPr>
        <w:t xml:space="preserve">
      Заемщик через МНЭ обеспечивает реализацию проекта в соответствии с Руководством по противодействию коррупции. </w:t>
      </w:r>
    </w:p>
    <w:bookmarkStart w:name="z37" w:id="37"/>
    <w:p>
      <w:pPr>
        <w:spacing w:after="0"/>
        <w:ind w:left="0"/>
        <w:jc w:val="left"/>
      </w:pPr>
      <w:r>
        <w:rPr>
          <w:rFonts w:ascii="Times New Roman"/>
          <w:b/>
          <w:i w:val="false"/>
          <w:color w:val="000000"/>
        </w:rPr>
        <w:t xml:space="preserve"> Раздел II. Мониторинг, отчетность и оценка Проекта</w:t>
      </w:r>
    </w:p>
    <w:bookmarkEnd w:id="37"/>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A. Отчеты по Проекту </w:t>
      </w:r>
    </w:p>
    <w:bookmarkEnd w:id="38"/>
    <w:bookmarkStart w:name="z39" w:id="39"/>
    <w:p>
      <w:pPr>
        <w:spacing w:after="0"/>
        <w:ind w:left="0"/>
        <w:jc w:val="both"/>
      </w:pPr>
      <w:r>
        <w:rPr>
          <w:rFonts w:ascii="Times New Roman"/>
          <w:b w:val="false"/>
          <w:i w:val="false"/>
          <w:color w:val="000000"/>
          <w:sz w:val="28"/>
        </w:rPr>
        <w:t>
      1. Заемщик через МНЭ будет проводить мониторинг и оценку хода реализации Проекта, а также готовить отчеты по Проекту в соответствии с положениями раздела 5.08 Общих условий и на основе индикаторов, согласованных между Заемщиком и Банком. Каждый отчет по проекту должен охватывать период в одно полугодие и предоставляться Банку не позднее чем через сорок пять (45) дней после окончания периода, охватываемого таким отчетом.</w:t>
      </w:r>
    </w:p>
    <w:bookmarkEnd w:id="39"/>
    <w:bookmarkStart w:name="z40" w:id="40"/>
    <w:p>
      <w:pPr>
        <w:spacing w:after="0"/>
        <w:ind w:left="0"/>
        <w:jc w:val="both"/>
      </w:pPr>
      <w:r>
        <w:rPr>
          <w:rFonts w:ascii="Times New Roman"/>
          <w:b w:val="false"/>
          <w:i w:val="false"/>
          <w:color w:val="000000"/>
          <w:sz w:val="28"/>
        </w:rPr>
        <w:t>
      2. Без ограничений для положений указанных в разделе 5.08 (b) Общих условий, к 31 декабря 2017 года или другой дате по согласованию с Банком Заемщик через МНЭ совместно с Банком осуществляет среднесрочный обзор реализации мероприятий в рамках проекта (среднесрочный обзор). В ходе среднесрочного обзора оценивается прогресс, достигнутый в реализации проекта. После такого среднесрочного обзора, если необходимо, Заемщик через МНЭ должен действовать надлежащим образом, чтобы предпринять корректирующие меры, согласованные с Банком.</w:t>
      </w:r>
    </w:p>
    <w:bookmarkEnd w:id="40"/>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B. Финансовое управление, финансовые отчеты и аудит </w:t>
      </w:r>
    </w:p>
    <w:bookmarkEnd w:id="41"/>
    <w:bookmarkStart w:name="z42" w:id="42"/>
    <w:p>
      <w:pPr>
        <w:spacing w:after="0"/>
        <w:ind w:left="0"/>
        <w:jc w:val="both"/>
      </w:pPr>
      <w:r>
        <w:rPr>
          <w:rFonts w:ascii="Times New Roman"/>
          <w:b w:val="false"/>
          <w:i w:val="false"/>
          <w:color w:val="000000"/>
          <w:sz w:val="28"/>
        </w:rPr>
        <w:t xml:space="preserve">
      1. Заемщик через МНЭ будет вести или обеспечит ведение системы финансового управления в соответствии с положениями раздела 5.09 Общих условий. </w:t>
      </w:r>
    </w:p>
    <w:bookmarkEnd w:id="42"/>
    <w:bookmarkStart w:name="z43" w:id="43"/>
    <w:p>
      <w:pPr>
        <w:spacing w:after="0"/>
        <w:ind w:left="0"/>
        <w:jc w:val="both"/>
      </w:pPr>
      <w:r>
        <w:rPr>
          <w:rFonts w:ascii="Times New Roman"/>
          <w:b w:val="false"/>
          <w:i w:val="false"/>
          <w:color w:val="000000"/>
          <w:sz w:val="28"/>
        </w:rPr>
        <w:t>
      2. Без ограничений для положений части А настоящего раздела Заемщик через МНЭ будет готовить и представлять в Банк не позднее чем через сорок пять (45) дней после окончания каждого календарного квартала приемлемые для Банка по форме и сути промежуточные финансовые отчеты по Проекту за соответствующий календарный квартал, не прошедшие аудиторскую проверку.</w:t>
      </w:r>
    </w:p>
    <w:bookmarkEnd w:id="43"/>
    <w:bookmarkStart w:name="z44" w:id="44"/>
    <w:p>
      <w:pPr>
        <w:spacing w:after="0"/>
        <w:ind w:left="0"/>
        <w:jc w:val="both"/>
      </w:pPr>
      <w:r>
        <w:rPr>
          <w:rFonts w:ascii="Times New Roman"/>
          <w:b w:val="false"/>
          <w:i w:val="false"/>
          <w:color w:val="000000"/>
          <w:sz w:val="28"/>
        </w:rPr>
        <w:t>
      3. Заемщик обеспечит проведение аудиторской проверки своей финансовой отчетности в соответствии с положениями раздела 5.09 (b) Общих условий. Каждый аудит финансовой отчетности должен охватывать период одного финансового года Заемщика. Финансовая отчетность за каждый такой период, прошедшая аудиторскую проверку, должна быть представлена в Банк не позднее чем через шесть месяцев после окончания соответствующего периода.</w:t>
      </w:r>
    </w:p>
    <w:bookmarkEnd w:id="44"/>
    <w:bookmarkStart w:name="z45" w:id="45"/>
    <w:p>
      <w:pPr>
        <w:spacing w:after="0"/>
        <w:ind w:left="0"/>
        <w:jc w:val="left"/>
      </w:pPr>
      <w:r>
        <w:rPr>
          <w:rFonts w:ascii="Times New Roman"/>
          <w:b/>
          <w:i w:val="false"/>
          <w:color w:val="000000"/>
        </w:rPr>
        <w:t xml:space="preserve"> Раздел III. Закупки</w:t>
      </w:r>
    </w:p>
    <w:bookmarkEnd w:id="45"/>
    <w:bookmarkStart w:name="z46" w:id="46"/>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p>
    <w:bookmarkEnd w:id="46"/>
    <w:bookmarkStart w:name="z47" w:id="47"/>
    <w:p>
      <w:pPr>
        <w:spacing w:after="0"/>
        <w:ind w:left="0"/>
        <w:jc w:val="both"/>
      </w:pPr>
      <w:r>
        <w:rPr>
          <w:rFonts w:ascii="Times New Roman"/>
          <w:b w:val="false"/>
          <w:i w:val="false"/>
          <w:color w:val="000000"/>
          <w:sz w:val="28"/>
        </w:rPr>
        <w:t>
      </w:t>
      </w:r>
      <w:r>
        <w:rPr>
          <w:rFonts w:ascii="Times New Roman"/>
          <w:b/>
          <w:i w:val="false"/>
          <w:color w:val="000000"/>
          <w:sz w:val="28"/>
        </w:rPr>
        <w:t xml:space="preserve">1. Товары и </w:t>
      </w:r>
      <w:r>
        <w:rPr>
          <w:rFonts w:ascii="Times New Roman"/>
          <w:b/>
          <w:i w:val="false"/>
          <w:color w:val="000000"/>
          <w:sz w:val="28"/>
        </w:rPr>
        <w:t>неконсультационные</w:t>
      </w:r>
      <w:r>
        <w:rPr>
          <w:rFonts w:ascii="Times New Roman"/>
          <w:b/>
          <w:i w:val="false"/>
          <w:color w:val="000000"/>
          <w:sz w:val="28"/>
        </w:rPr>
        <w:t xml:space="preserve"> услуги</w:t>
      </w:r>
      <w:r>
        <w:rPr>
          <w:rFonts w:ascii="Times New Roman"/>
          <w:b w:val="false"/>
          <w:i w:val="false"/>
          <w:color w:val="000000"/>
          <w:sz w:val="28"/>
        </w:rPr>
        <w:t>. Все товары и неконсультационные услуги, необходимые для реализации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p>
    <w:bookmarkEnd w:id="47"/>
    <w:bookmarkStart w:name="z48" w:id="48"/>
    <w:p>
      <w:pPr>
        <w:spacing w:after="0"/>
        <w:ind w:left="0"/>
        <w:jc w:val="both"/>
      </w:pPr>
      <w:r>
        <w:rPr>
          <w:rFonts w:ascii="Times New Roman"/>
          <w:b w:val="false"/>
          <w:i w:val="false"/>
          <w:color w:val="000000"/>
          <w:sz w:val="28"/>
        </w:rPr>
        <w:t>
      </w:t>
      </w:r>
      <w:r>
        <w:rPr>
          <w:rFonts w:ascii="Times New Roman"/>
          <w:b/>
          <w:i w:val="false"/>
          <w:color w:val="000000"/>
          <w:sz w:val="28"/>
        </w:rPr>
        <w:t>2. Консультационные услуги</w:t>
      </w:r>
      <w:r>
        <w:rPr>
          <w:rFonts w:ascii="Times New Roman"/>
          <w:b w:val="false"/>
          <w:i w:val="false"/>
          <w:color w:val="000000"/>
          <w:sz w:val="28"/>
        </w:rPr>
        <w:t xml:space="preserve">. Все 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разделах I и IV Руководства по консультантам, а также в соответствии с положениями настоящего раздела. </w:t>
      </w:r>
    </w:p>
    <w:bookmarkEnd w:id="48"/>
    <w:bookmarkStart w:name="z49" w:id="49"/>
    <w:p>
      <w:pPr>
        <w:spacing w:after="0"/>
        <w:ind w:left="0"/>
        <w:jc w:val="both"/>
      </w:pPr>
      <w:r>
        <w:rPr>
          <w:rFonts w:ascii="Times New Roman"/>
          <w:b w:val="false"/>
          <w:i w:val="false"/>
          <w:color w:val="000000"/>
          <w:sz w:val="28"/>
        </w:rPr>
        <w:t>
      </w:t>
      </w:r>
      <w:r>
        <w:rPr>
          <w:rFonts w:ascii="Times New Roman"/>
          <w:b/>
          <w:i w:val="false"/>
          <w:color w:val="000000"/>
          <w:sz w:val="28"/>
        </w:rPr>
        <w:t>3. Определения</w:t>
      </w:r>
      <w:r>
        <w:rPr>
          <w:rFonts w:ascii="Times New Roman"/>
          <w:b w:val="false"/>
          <w:i w:val="false"/>
          <w:color w:val="000000"/>
          <w:sz w:val="28"/>
        </w:rPr>
        <w:t>. Термины, начинающиеся с заглавных букв, которые используются ниже в настоящем разделе для описания отдельных методов закупок или методов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консультантам, в зависимости от конкретного случая.</w:t>
      </w:r>
    </w:p>
    <w:bookmarkEnd w:id="49"/>
    <w:bookmarkStart w:name="z50" w:id="50"/>
    <w:p>
      <w:pPr>
        <w:spacing w:after="0"/>
        <w:ind w:left="0"/>
        <w:jc w:val="both"/>
      </w:pPr>
      <w:r>
        <w:rPr>
          <w:rFonts w:ascii="Times New Roman"/>
          <w:b w:val="false"/>
          <w:i w:val="false"/>
          <w:color w:val="000000"/>
          <w:sz w:val="28"/>
        </w:rPr>
        <w:t>
      </w:t>
      </w:r>
      <w:r>
        <w:rPr>
          <w:rFonts w:ascii="Times New Roman"/>
          <w:b/>
          <w:i w:val="false"/>
          <w:color w:val="000000"/>
          <w:sz w:val="28"/>
        </w:rPr>
        <w:t xml:space="preserve">B. Отдельные методы закупок товаров и </w:t>
      </w:r>
      <w:r>
        <w:rPr>
          <w:rFonts w:ascii="Times New Roman"/>
          <w:b/>
          <w:i w:val="false"/>
          <w:color w:val="000000"/>
          <w:sz w:val="28"/>
        </w:rPr>
        <w:t>неконсультационных</w:t>
      </w:r>
      <w:r>
        <w:rPr>
          <w:rFonts w:ascii="Times New Roman"/>
          <w:b/>
          <w:i w:val="false"/>
          <w:color w:val="000000"/>
          <w:sz w:val="28"/>
        </w:rPr>
        <w:t xml:space="preserve"> услуг</w:t>
      </w:r>
    </w:p>
    <w:bookmarkEnd w:id="50"/>
    <w:bookmarkStart w:name="z51" w:id="51"/>
    <w:p>
      <w:pPr>
        <w:spacing w:after="0"/>
        <w:ind w:left="0"/>
        <w:jc w:val="both"/>
      </w:pPr>
      <w:r>
        <w:rPr>
          <w:rFonts w:ascii="Times New Roman"/>
          <w:b w:val="false"/>
          <w:i w:val="false"/>
          <w:color w:val="000000"/>
          <w:sz w:val="28"/>
        </w:rPr>
        <w:t>
      </w:t>
      </w:r>
      <w:r>
        <w:rPr>
          <w:rFonts w:ascii="Times New Roman"/>
          <w:b/>
          <w:i w:val="false"/>
          <w:color w:val="000000"/>
          <w:sz w:val="28"/>
        </w:rPr>
        <w:t>1. Международные конкурсные торги</w:t>
      </w:r>
      <w:r>
        <w:rPr>
          <w:rFonts w:ascii="Times New Roman"/>
          <w:b w:val="false"/>
          <w:i w:val="false"/>
          <w:color w:val="000000"/>
          <w:sz w:val="28"/>
        </w:rPr>
        <w:t xml:space="preserve">. Если иное не предусмотрено в </w:t>
      </w:r>
      <w:r>
        <w:rPr>
          <w:rFonts w:ascii="Times New Roman"/>
          <w:b w:val="false"/>
          <w:i w:val="false"/>
          <w:color w:val="000000"/>
          <w:sz w:val="28"/>
        </w:rPr>
        <w:t>пункте 2</w:t>
      </w:r>
      <w:r>
        <w:rPr>
          <w:rFonts w:ascii="Times New Roman"/>
          <w:b w:val="false"/>
          <w:i w:val="false"/>
          <w:color w:val="000000"/>
          <w:sz w:val="28"/>
        </w:rPr>
        <w:t xml:space="preserve"> ниже, закупка товаров и неконсультационных услуг будет осуществляться по контрактам, присужденным в соответствии с процедурами международных конкурсных торгов.</w:t>
      </w:r>
    </w:p>
    <w:bookmarkEnd w:id="51"/>
    <w:bookmarkStart w:name="z52" w:id="52"/>
    <w:p>
      <w:pPr>
        <w:spacing w:after="0"/>
        <w:ind w:left="0"/>
        <w:jc w:val="both"/>
      </w:pPr>
      <w:r>
        <w:rPr>
          <w:rFonts w:ascii="Times New Roman"/>
          <w:b w:val="false"/>
          <w:i w:val="false"/>
          <w:color w:val="000000"/>
          <w:sz w:val="28"/>
        </w:rPr>
        <w:t>
      </w:t>
      </w:r>
      <w:r>
        <w:rPr>
          <w:rFonts w:ascii="Times New Roman"/>
          <w:b/>
          <w:i w:val="false"/>
          <w:color w:val="000000"/>
          <w:sz w:val="28"/>
        </w:rPr>
        <w:t xml:space="preserve">2. Другие методы закупок товаров и </w:t>
      </w:r>
      <w:r>
        <w:rPr>
          <w:rFonts w:ascii="Times New Roman"/>
          <w:b/>
          <w:i w:val="false"/>
          <w:color w:val="000000"/>
          <w:sz w:val="28"/>
        </w:rPr>
        <w:t>неконсультационных</w:t>
      </w:r>
      <w:r>
        <w:rPr>
          <w:rFonts w:ascii="Times New Roman"/>
          <w:b/>
          <w:i w:val="false"/>
          <w:color w:val="000000"/>
          <w:sz w:val="28"/>
        </w:rPr>
        <w:t xml:space="preserve"> услуг</w:t>
      </w:r>
      <w:r>
        <w:rPr>
          <w:rFonts w:ascii="Times New Roman"/>
          <w:b w:val="false"/>
          <w:i w:val="false"/>
          <w:color w:val="000000"/>
          <w:sz w:val="28"/>
        </w:rPr>
        <w:t xml:space="preserve">. Кроме международных конкурсных торгов могут использоваться следующие методы закупок товаров и неконсультационных услуг по тем контрактам, которые указаны в плане закупок: </w:t>
      </w:r>
    </w:p>
    <w:bookmarkEnd w:id="52"/>
    <w:p>
      <w:pPr>
        <w:spacing w:after="0"/>
        <w:ind w:left="0"/>
        <w:jc w:val="both"/>
      </w:pPr>
      <w:r>
        <w:rPr>
          <w:rFonts w:ascii="Times New Roman"/>
          <w:b w:val="false"/>
          <w:i w:val="false"/>
          <w:color w:val="000000"/>
          <w:sz w:val="28"/>
        </w:rPr>
        <w:t xml:space="preserve">
      a) национальные конкурсные торги, которые регулируются дополнительными положениями, указанными в </w:t>
      </w:r>
      <w:r>
        <w:rPr>
          <w:rFonts w:ascii="Times New Roman"/>
          <w:b w:val="false"/>
          <w:i w:val="false"/>
          <w:color w:val="000000"/>
          <w:sz w:val="28"/>
        </w:rPr>
        <w:t>приложении</w:t>
      </w:r>
      <w:r>
        <w:rPr>
          <w:rFonts w:ascii="Times New Roman"/>
          <w:b w:val="false"/>
          <w:i w:val="false"/>
          <w:color w:val="000000"/>
          <w:sz w:val="28"/>
        </w:rPr>
        <w:t xml:space="preserve"> к настоящему дополнению 2; </w:t>
      </w:r>
    </w:p>
    <w:p>
      <w:pPr>
        <w:spacing w:after="0"/>
        <w:ind w:left="0"/>
        <w:jc w:val="both"/>
      </w:pPr>
      <w:r>
        <w:rPr>
          <w:rFonts w:ascii="Times New Roman"/>
          <w:b w:val="false"/>
          <w:i w:val="false"/>
          <w:color w:val="000000"/>
          <w:sz w:val="28"/>
        </w:rPr>
        <w:t xml:space="preserve">
      b) закупки на открытом рынке; и </w:t>
      </w:r>
    </w:p>
    <w:p>
      <w:pPr>
        <w:spacing w:after="0"/>
        <w:ind w:left="0"/>
        <w:jc w:val="both"/>
      </w:pPr>
      <w:r>
        <w:rPr>
          <w:rFonts w:ascii="Times New Roman"/>
          <w:b w:val="false"/>
          <w:i w:val="false"/>
          <w:color w:val="000000"/>
          <w:sz w:val="28"/>
        </w:rPr>
        <w:t xml:space="preserve">
      c) прямые контракты. </w:t>
      </w:r>
    </w:p>
    <w:bookmarkStart w:name="z53" w:id="53"/>
    <w:p>
      <w:pPr>
        <w:spacing w:after="0"/>
        <w:ind w:left="0"/>
        <w:jc w:val="both"/>
      </w:pPr>
      <w:r>
        <w:rPr>
          <w:rFonts w:ascii="Times New Roman"/>
          <w:b w:val="false"/>
          <w:i w:val="false"/>
          <w:color w:val="000000"/>
          <w:sz w:val="28"/>
        </w:rPr>
        <w:t>
      </w:t>
      </w:r>
      <w:r>
        <w:rPr>
          <w:rFonts w:ascii="Times New Roman"/>
          <w:b/>
          <w:i w:val="false"/>
          <w:color w:val="000000"/>
          <w:sz w:val="28"/>
        </w:rPr>
        <w:t xml:space="preserve">C. Отдельные методы закупок консультационных услуг </w:t>
      </w:r>
    </w:p>
    <w:bookmarkEnd w:id="53"/>
    <w:bookmarkStart w:name="z54" w:id="54"/>
    <w:p>
      <w:pPr>
        <w:spacing w:after="0"/>
        <w:ind w:left="0"/>
        <w:jc w:val="both"/>
      </w:pPr>
      <w:r>
        <w:rPr>
          <w:rFonts w:ascii="Times New Roman"/>
          <w:b w:val="false"/>
          <w:i w:val="false"/>
          <w:color w:val="000000"/>
          <w:sz w:val="28"/>
        </w:rPr>
        <w:t>
      </w:t>
      </w:r>
      <w:r>
        <w:rPr>
          <w:rFonts w:ascii="Times New Roman"/>
          <w:b/>
          <w:i w:val="false"/>
          <w:color w:val="000000"/>
          <w:sz w:val="28"/>
        </w:rPr>
        <w:t>1. Отбор на основе качества и стоимости</w:t>
      </w:r>
      <w:r>
        <w:rPr>
          <w:rFonts w:ascii="Times New Roman"/>
          <w:b w:val="false"/>
          <w:i w:val="false"/>
          <w:color w:val="000000"/>
          <w:sz w:val="28"/>
        </w:rPr>
        <w:t xml:space="preserve">. Если в </w:t>
      </w:r>
      <w:r>
        <w:rPr>
          <w:rFonts w:ascii="Times New Roman"/>
          <w:b w:val="false"/>
          <w:i w:val="false"/>
          <w:color w:val="000000"/>
          <w:sz w:val="28"/>
        </w:rPr>
        <w:t>пункте 2</w:t>
      </w:r>
      <w:r>
        <w:rPr>
          <w:rFonts w:ascii="Times New Roman"/>
          <w:b w:val="false"/>
          <w:i w:val="false"/>
          <w:color w:val="000000"/>
          <w:sz w:val="28"/>
        </w:rPr>
        <w:t xml:space="preserve"> ниже не предусмотрено иное, закуп консультационных услуг будет осуществляться в рамках контрактов, присужденных в соответствии с процедурой Отбора на основе качества и стоимости.</w:t>
      </w:r>
    </w:p>
    <w:bookmarkEnd w:id="54"/>
    <w:bookmarkStart w:name="z55" w:id="55"/>
    <w:p>
      <w:pPr>
        <w:spacing w:after="0"/>
        <w:ind w:left="0"/>
        <w:jc w:val="both"/>
      </w:pPr>
      <w:r>
        <w:rPr>
          <w:rFonts w:ascii="Times New Roman"/>
          <w:b w:val="false"/>
          <w:i w:val="false"/>
          <w:color w:val="000000"/>
          <w:sz w:val="28"/>
        </w:rPr>
        <w:t>
      </w:t>
      </w:r>
      <w:r>
        <w:rPr>
          <w:rFonts w:ascii="Times New Roman"/>
          <w:b/>
          <w:i w:val="false"/>
          <w:color w:val="000000"/>
          <w:sz w:val="28"/>
        </w:rPr>
        <w:t>2. Прочие методы закупок консультационных услуг</w:t>
      </w:r>
      <w:r>
        <w:rPr>
          <w:rFonts w:ascii="Times New Roman"/>
          <w:b w:val="false"/>
          <w:i w:val="false"/>
          <w:color w:val="000000"/>
          <w:sz w:val="28"/>
        </w:rPr>
        <w:t xml:space="preserve">. Кроме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 </w:t>
      </w:r>
    </w:p>
    <w:bookmarkEnd w:id="55"/>
    <w:p>
      <w:pPr>
        <w:spacing w:after="0"/>
        <w:ind w:left="0"/>
        <w:jc w:val="both"/>
      </w:pPr>
      <w:r>
        <w:rPr>
          <w:rFonts w:ascii="Times New Roman"/>
          <w:b w:val="false"/>
          <w:i w:val="false"/>
          <w:color w:val="000000"/>
          <w:sz w:val="28"/>
        </w:rPr>
        <w:t>
      a) отбор на основе качества;</w:t>
      </w:r>
    </w:p>
    <w:p>
      <w:pPr>
        <w:spacing w:after="0"/>
        <w:ind w:left="0"/>
        <w:jc w:val="both"/>
      </w:pPr>
      <w:r>
        <w:rPr>
          <w:rFonts w:ascii="Times New Roman"/>
          <w:b w:val="false"/>
          <w:i w:val="false"/>
          <w:color w:val="000000"/>
          <w:sz w:val="28"/>
        </w:rPr>
        <w:t xml:space="preserve">
      b) отбор при фиксированном бюджете; </w:t>
      </w:r>
    </w:p>
    <w:p>
      <w:pPr>
        <w:spacing w:after="0"/>
        <w:ind w:left="0"/>
        <w:jc w:val="both"/>
      </w:pPr>
      <w:r>
        <w:rPr>
          <w:rFonts w:ascii="Times New Roman"/>
          <w:b w:val="false"/>
          <w:i w:val="false"/>
          <w:color w:val="000000"/>
          <w:sz w:val="28"/>
        </w:rPr>
        <w:t xml:space="preserve">
      c) отбор по наименьшей стоимости; </w:t>
      </w:r>
    </w:p>
    <w:p>
      <w:pPr>
        <w:spacing w:after="0"/>
        <w:ind w:left="0"/>
        <w:jc w:val="both"/>
      </w:pPr>
      <w:r>
        <w:rPr>
          <w:rFonts w:ascii="Times New Roman"/>
          <w:b w:val="false"/>
          <w:i w:val="false"/>
          <w:color w:val="000000"/>
          <w:sz w:val="28"/>
        </w:rPr>
        <w:t>
      d) отбор на основе квалификации консультантов;</w:t>
      </w:r>
    </w:p>
    <w:p>
      <w:pPr>
        <w:spacing w:after="0"/>
        <w:ind w:left="0"/>
        <w:jc w:val="both"/>
      </w:pPr>
      <w:r>
        <w:rPr>
          <w:rFonts w:ascii="Times New Roman"/>
          <w:b w:val="false"/>
          <w:i w:val="false"/>
          <w:color w:val="000000"/>
          <w:sz w:val="28"/>
        </w:rPr>
        <w:t xml:space="preserve">
      e) закупки услуг консалтинговых фирм из одного источника; </w:t>
      </w:r>
    </w:p>
    <w:p>
      <w:pPr>
        <w:spacing w:after="0"/>
        <w:ind w:left="0"/>
        <w:jc w:val="both"/>
      </w:pPr>
      <w:r>
        <w:rPr>
          <w:rFonts w:ascii="Times New Roman"/>
          <w:b w:val="false"/>
          <w:i w:val="false"/>
          <w:color w:val="000000"/>
          <w:sz w:val="28"/>
        </w:rPr>
        <w:t xml:space="preserve">
      f) отбор индивидуальных консультантов; и </w:t>
      </w:r>
    </w:p>
    <w:p>
      <w:pPr>
        <w:spacing w:after="0"/>
        <w:ind w:left="0"/>
        <w:jc w:val="both"/>
      </w:pPr>
      <w:r>
        <w:rPr>
          <w:rFonts w:ascii="Times New Roman"/>
          <w:b w:val="false"/>
          <w:i w:val="false"/>
          <w:color w:val="000000"/>
          <w:sz w:val="28"/>
        </w:rPr>
        <w:t xml:space="preserve">
      g) процедуры отбора индивидуальных консультантов из одного источника. </w:t>
      </w:r>
    </w:p>
    <w:bookmarkStart w:name="z56" w:id="56"/>
    <w:p>
      <w:pPr>
        <w:spacing w:after="0"/>
        <w:ind w:left="0"/>
        <w:jc w:val="both"/>
      </w:pPr>
      <w:r>
        <w:rPr>
          <w:rFonts w:ascii="Times New Roman"/>
          <w:b w:val="false"/>
          <w:i w:val="false"/>
          <w:color w:val="000000"/>
          <w:sz w:val="28"/>
        </w:rPr>
        <w:t>
      </w:t>
      </w:r>
      <w:r>
        <w:rPr>
          <w:rFonts w:ascii="Times New Roman"/>
          <w:b/>
          <w:i w:val="false"/>
          <w:color w:val="000000"/>
          <w:sz w:val="28"/>
        </w:rPr>
        <w:t>D. Рассмотрение Банком решений по закупкам</w:t>
      </w:r>
    </w:p>
    <w:bookmarkEnd w:id="56"/>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w:t>
      </w:r>
    </w:p>
    <w:bookmarkStart w:name="z57" w:id="57"/>
    <w:p>
      <w:pPr>
        <w:spacing w:after="0"/>
        <w:ind w:left="0"/>
        <w:jc w:val="left"/>
      </w:pPr>
      <w:r>
        <w:rPr>
          <w:rFonts w:ascii="Times New Roman"/>
          <w:b/>
          <w:i w:val="false"/>
          <w:color w:val="000000"/>
        </w:rPr>
        <w:t xml:space="preserve"> Раздел IV. Снятие средств Займа</w:t>
      </w:r>
    </w:p>
    <w:bookmarkEnd w:id="57"/>
    <w:bookmarkStart w:name="z58" w:id="58"/>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p>
    <w:bookmarkEnd w:id="58"/>
    <w:bookmarkStart w:name="z59" w:id="59"/>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приведенной в пункте 2 ниже.</w:t>
      </w:r>
    </w:p>
    <w:bookmarkEnd w:id="59"/>
    <w:bookmarkStart w:name="z60" w:id="60"/>
    <w:p>
      <w:pPr>
        <w:spacing w:after="0"/>
        <w:ind w:left="0"/>
        <w:jc w:val="both"/>
      </w:pPr>
      <w:r>
        <w:rPr>
          <w:rFonts w:ascii="Times New Roman"/>
          <w:b w:val="false"/>
          <w:i w:val="false"/>
          <w:color w:val="000000"/>
          <w:sz w:val="28"/>
        </w:rPr>
        <w:t>
      2. В таблице ниже указаны категории правомочных расходов, которые могут быть профинансированы из средств Займа ("Категория"), выделяемые суммы Займа по каждой Категории и процентная доля расходов, подлежащая финансированию в качестве правомочных расходов по каждой Категории.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7"/>
        <w:gridCol w:w="3739"/>
        <w:gridCol w:w="2324"/>
      </w:tblGrid>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Категория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Выделяемая сумма займа (выраженная в долларах США)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расходов, подлежащая финансированию (исключая налоги)</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Товары, неконсультационные услуги, услуги консультантов и обучение для компонента 1 проекта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11453568</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Товары, неконсультационные услуги, услуги консультантов и обучение для 2, 3 и 4 компонентов проекта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28546432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СУММА</w:t>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1" w:id="61"/>
    <w:p>
      <w:pPr>
        <w:spacing w:after="0"/>
        <w:ind w:left="0"/>
        <w:jc w:val="both"/>
      </w:pPr>
      <w:r>
        <w:rPr>
          <w:rFonts w:ascii="Times New Roman"/>
          <w:b w:val="false"/>
          <w:i w:val="false"/>
          <w:color w:val="000000"/>
          <w:sz w:val="28"/>
        </w:rPr>
        <w:t>
      </w:t>
      </w:r>
      <w:r>
        <w:rPr>
          <w:rFonts w:ascii="Times New Roman"/>
          <w:b/>
          <w:i w:val="false"/>
          <w:color w:val="000000"/>
          <w:sz w:val="28"/>
        </w:rPr>
        <w:t>B. Условия снятия; период снятия</w:t>
      </w:r>
    </w:p>
    <w:bookmarkEnd w:id="61"/>
    <w:bookmarkStart w:name="z62" w:id="62"/>
    <w:p>
      <w:pPr>
        <w:spacing w:after="0"/>
        <w:ind w:left="0"/>
        <w:jc w:val="both"/>
      </w:pPr>
      <w:r>
        <w:rPr>
          <w:rFonts w:ascii="Times New Roman"/>
          <w:b w:val="false"/>
          <w:i w:val="false"/>
          <w:color w:val="000000"/>
          <w:sz w:val="28"/>
        </w:rPr>
        <w:t>
      1. Независимо от положений части А данного раздела средства не должны сниматься:</w:t>
      </w:r>
    </w:p>
    <w:bookmarkEnd w:id="62"/>
    <w:p>
      <w:pPr>
        <w:spacing w:after="0"/>
        <w:ind w:left="0"/>
        <w:jc w:val="both"/>
      </w:pPr>
      <w:r>
        <w:rPr>
          <w:rFonts w:ascii="Times New Roman"/>
          <w:b w:val="false"/>
          <w:i w:val="false"/>
          <w:color w:val="000000"/>
          <w:sz w:val="28"/>
        </w:rPr>
        <w:t xml:space="preserve">
      (a) со счета Займа до тех пор, пока Банк не получит полную сумму Единовременной комиссии; </w:t>
      </w:r>
    </w:p>
    <w:p>
      <w:pPr>
        <w:spacing w:after="0"/>
        <w:ind w:left="0"/>
        <w:jc w:val="both"/>
      </w:pPr>
      <w:r>
        <w:rPr>
          <w:rFonts w:ascii="Times New Roman"/>
          <w:b w:val="false"/>
          <w:i w:val="false"/>
          <w:color w:val="000000"/>
          <w:sz w:val="28"/>
        </w:rPr>
        <w:t>
      (b) по платежам, совершенным до даты настоящего Соглашения.</w:t>
      </w:r>
    </w:p>
    <w:bookmarkStart w:name="z63" w:id="63"/>
    <w:p>
      <w:pPr>
        <w:spacing w:after="0"/>
        <w:ind w:left="0"/>
        <w:jc w:val="both"/>
      </w:pPr>
      <w:r>
        <w:rPr>
          <w:rFonts w:ascii="Times New Roman"/>
          <w:b w:val="false"/>
          <w:i w:val="false"/>
          <w:color w:val="000000"/>
          <w:sz w:val="28"/>
        </w:rPr>
        <w:t>
      2. Дата закрытия Займа – 30 июня 2020 года.</w:t>
      </w:r>
    </w:p>
    <w:bookmarkEnd w:id="63"/>
    <w:bookmarkStart w:name="z64" w:id="64"/>
    <w:p>
      <w:pPr>
        <w:spacing w:after="0"/>
        <w:ind w:left="0"/>
        <w:jc w:val="left"/>
      </w:pPr>
      <w:r>
        <w:rPr>
          <w:rFonts w:ascii="Times New Roman"/>
          <w:b/>
          <w:i w:val="false"/>
          <w:color w:val="000000"/>
        </w:rPr>
        <w:t xml:space="preserve"> Приложение к</w:t>
      </w:r>
      <w:r>
        <w:br/>
      </w:r>
      <w:r>
        <w:rPr>
          <w:rFonts w:ascii="Times New Roman"/>
          <w:b/>
          <w:i w:val="false"/>
          <w:color w:val="000000"/>
        </w:rPr>
        <w:t>ДОПОЛНЕНИЮ 2</w:t>
      </w:r>
    </w:p>
    <w:bookmarkEnd w:id="64"/>
    <w:p>
      <w:pPr>
        <w:spacing w:after="0"/>
        <w:ind w:left="0"/>
        <w:jc w:val="both"/>
      </w:pPr>
      <w:r>
        <w:rPr>
          <w:rFonts w:ascii="Times New Roman"/>
          <w:b w:val="false"/>
          <w:i w:val="false"/>
          <w:color w:val="000000"/>
          <w:sz w:val="28"/>
        </w:rPr>
        <w:t xml:space="preserve">
      Процедуры закупок, которые будут использоваться при проведении национальных конкурсных торгов, будут процедурами проведения конкурсных торгов, изложенными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21 июля 2007 года № 303-III "О государственных закупках" с изменениями, внесенными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сентября 2014 № 239-V; однако при условии, что такие процедуры будут проводиться в соответствии с положениями раздела I и пунктов 3.3 и 3.4 Руководства по закупкам и следующими дополнительными положениями:</w:t>
      </w:r>
    </w:p>
    <w:p>
      <w:pPr>
        <w:spacing w:after="0"/>
        <w:ind w:left="0"/>
        <w:jc w:val="both"/>
      </w:pPr>
      <w:r>
        <w:rPr>
          <w:rFonts w:ascii="Times New Roman"/>
          <w:b w:val="false"/>
          <w:i w:val="false"/>
          <w:color w:val="000000"/>
          <w:sz w:val="28"/>
        </w:rPr>
        <w:t>
      (a) Правомочность: правомочность участников торгов на участие в процессе закупок и заключение контракта, финансируемого Банком, будут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НКТ, и они не обязаны вступать в партнерские отношения с местными участниками торгов, чтобы участвовать в процессе закупок.</w:t>
      </w:r>
    </w:p>
    <w:p>
      <w:pPr>
        <w:spacing w:after="0"/>
        <w:ind w:left="0"/>
        <w:jc w:val="both"/>
      </w:pPr>
      <w:r>
        <w:rPr>
          <w:rFonts w:ascii="Times New Roman"/>
          <w:b w:val="false"/>
          <w:i w:val="false"/>
          <w:color w:val="000000"/>
          <w:sz w:val="28"/>
        </w:rPr>
        <w:t>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w:t>
      </w:r>
    </w:p>
    <w:p>
      <w:pPr>
        <w:spacing w:after="0"/>
        <w:ind w:left="0"/>
        <w:jc w:val="both"/>
      </w:pPr>
      <w:r>
        <w:rPr>
          <w:rFonts w:ascii="Times New Roman"/>
          <w:b w:val="false"/>
          <w:i w:val="false"/>
          <w:color w:val="000000"/>
          <w:sz w:val="28"/>
        </w:rPr>
        <w:t>
      (c)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w:t>
      </w:r>
    </w:p>
    <w:p>
      <w:pPr>
        <w:spacing w:after="0"/>
        <w:ind w:left="0"/>
        <w:jc w:val="both"/>
      </w:pPr>
      <w:r>
        <w:rPr>
          <w:rFonts w:ascii="Times New Roman"/>
          <w:b w:val="false"/>
          <w:i w:val="false"/>
          <w:color w:val="000000"/>
          <w:sz w:val="28"/>
        </w:rPr>
        <w:t>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приемлемые для Банка.</w:t>
      </w:r>
    </w:p>
    <w:p>
      <w:pPr>
        <w:spacing w:after="0"/>
        <w:ind w:left="0"/>
        <w:jc w:val="both"/>
      </w:pPr>
      <w:r>
        <w:rPr>
          <w:rFonts w:ascii="Times New Roman"/>
          <w:b w:val="false"/>
          <w:i w:val="false"/>
          <w:color w:val="000000"/>
          <w:sz w:val="28"/>
        </w:rPr>
        <w:t xml:space="preserve">
      (e) Сметные затраты: сметные затраты являются конфиденциальной информацией и не должны раскрываться потенциальным участникам торгов. </w:t>
      </w:r>
    </w:p>
    <w:p>
      <w:pPr>
        <w:spacing w:after="0"/>
        <w:ind w:left="0"/>
        <w:jc w:val="both"/>
      </w:pPr>
      <w:r>
        <w:rPr>
          <w:rFonts w:ascii="Times New Roman"/>
          <w:b w:val="false"/>
          <w:i w:val="false"/>
          <w:color w:val="000000"/>
          <w:sz w:val="28"/>
        </w:rPr>
        <w:t>
      (f) Срок действия конкурсной заявки: продление срока действия конкурсных заявок, если это связано с исключительными обстоятельствами, может быть затребовано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w:t>
      </w:r>
    </w:p>
    <w:p>
      <w:pPr>
        <w:spacing w:after="0"/>
        <w:ind w:left="0"/>
        <w:jc w:val="both"/>
      </w:pPr>
      <w:r>
        <w:rPr>
          <w:rFonts w:ascii="Times New Roman"/>
          <w:b w:val="false"/>
          <w:i w:val="false"/>
          <w:color w:val="000000"/>
          <w:sz w:val="28"/>
        </w:rPr>
        <w:t>
      (g) Подача и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предоставлена всем участникам торгов, которые подали конкурсные заявки, и Банку в отношении контрактов, подлежащих предварительному рассмотрению Банком.</w:t>
      </w:r>
    </w:p>
    <w:p>
      <w:pPr>
        <w:spacing w:after="0"/>
        <w:ind w:left="0"/>
        <w:jc w:val="both"/>
      </w:pPr>
      <w:r>
        <w:rPr>
          <w:rFonts w:ascii="Times New Roman"/>
          <w:b w:val="false"/>
          <w:i w:val="false"/>
          <w:color w:val="000000"/>
          <w:sz w:val="28"/>
        </w:rPr>
        <w:t>
      (h) Квалификация: квалификационные критерии должны быть четко указаны в конкурсной документации. Все критерии, указанные там,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специфического опыта и удовлетворительного послужного списка успешного выполнения подобных контрактов за определенный период; (ii) финансовое положение; и в зависимости от обстоятельств (iii) наличие строительных и/или производственных мощностей.</w:t>
      </w:r>
    </w:p>
    <w:p>
      <w:pPr>
        <w:spacing w:after="0"/>
        <w:ind w:left="0"/>
        <w:jc w:val="both"/>
      </w:pPr>
      <w:r>
        <w:rPr>
          <w:rFonts w:ascii="Times New Roman"/>
          <w:b w:val="false"/>
          <w:i w:val="false"/>
          <w:color w:val="000000"/>
          <w:sz w:val="28"/>
        </w:rPr>
        <w:t>
      (i) Процедуры предварительной квалификации и документы, удовлетворительные для Банка, должны использоваться для контрактов на выполнение больших, сложных и/или специализированных работ. Проверка информации, на основании которой участник торгов прошел предварительную квалификацию, включая текущие обязательства и возможности участника торгов относительно персонала и оборудования, должна проводиться во время присуждения контракта.</w:t>
      </w:r>
    </w:p>
    <w:p>
      <w:pPr>
        <w:spacing w:after="0"/>
        <w:ind w:left="0"/>
        <w:jc w:val="both"/>
      </w:pPr>
      <w:r>
        <w:rPr>
          <w:rFonts w:ascii="Times New Roman"/>
          <w:b w:val="false"/>
          <w:i w:val="false"/>
          <w:color w:val="000000"/>
          <w:sz w:val="28"/>
        </w:rPr>
        <w:t>
      (j) В тех случаях, когда предварительная квалификация не используется, квалификация участника торгов, который представлен к присуждению контракта, будет оцениваться в процессе постквалификации с применением критериев квалификации, указанных в конкурсной документации.</w:t>
      </w:r>
    </w:p>
    <w:p>
      <w:pPr>
        <w:spacing w:after="0"/>
        <w:ind w:left="0"/>
        <w:jc w:val="both"/>
      </w:pPr>
      <w:r>
        <w:rPr>
          <w:rFonts w:ascii="Times New Roman"/>
          <w:b w:val="false"/>
          <w:i w:val="false"/>
          <w:color w:val="000000"/>
          <w:sz w:val="28"/>
        </w:rPr>
        <w:t>
      (k)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их конкурсных заявок, но он не может просить или разрешать участникам торгов изменять суть или цену своих конкурсных заявок после вскрытия конкурсных заявок.</w:t>
      </w:r>
    </w:p>
    <w:p>
      <w:pPr>
        <w:spacing w:after="0"/>
        <w:ind w:left="0"/>
        <w:jc w:val="both"/>
      </w:pPr>
      <w:r>
        <w:rPr>
          <w:rFonts w:ascii="Times New Roman"/>
          <w:b w:val="false"/>
          <w:i w:val="false"/>
          <w:color w:val="000000"/>
          <w:sz w:val="28"/>
        </w:rPr>
        <w:t>
      (l) Контракты должны присуждаться квалифицированному участнику торгов, конкурсная заявка которого: (i) в основном отвечает требованиям конкурсной документации; и (ii) и предлагает наименьшую оценочную стоимость. Не должны вестись никакие переговоры относительно цены или сути конкурсной заявки.</w:t>
      </w:r>
    </w:p>
    <w:p>
      <w:pPr>
        <w:spacing w:after="0"/>
        <w:ind w:left="0"/>
        <w:jc w:val="both"/>
      </w:pPr>
      <w:r>
        <w:rPr>
          <w:rFonts w:ascii="Times New Roman"/>
          <w:b w:val="false"/>
          <w:i w:val="false"/>
          <w:color w:val="000000"/>
          <w:sz w:val="28"/>
        </w:rPr>
        <w:t xml:space="preserve">
      (m)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получено менее двух конкурсных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Банка. </w:t>
      </w:r>
    </w:p>
    <w:p>
      <w:pPr>
        <w:spacing w:after="0"/>
        <w:ind w:left="0"/>
        <w:jc w:val="both"/>
      </w:pPr>
      <w:r>
        <w:rPr>
          <w:rFonts w:ascii="Times New Roman"/>
          <w:b w:val="false"/>
          <w:i w:val="false"/>
          <w:color w:val="000000"/>
          <w:sz w:val="28"/>
        </w:rPr>
        <w:t>
      (n) Гарантии: гарантии конкурсных заявок и исполнения контрактов должны представляться в формате и иметь необходимый срок действия, указанный в конкурсной документации. При необходимости обеспечение конкурсной заявки может быть выражено в виде фиксированной суммы и не должно превышать двух процентов (2%) сметной стоимости контракта. Никакие авансовые платежи не должны производиться подрядчикам без наличия соответствующей гарантии авансового платежа.</w:t>
      </w:r>
    </w:p>
    <w:p>
      <w:pPr>
        <w:spacing w:after="0"/>
        <w:ind w:left="0"/>
        <w:jc w:val="both"/>
      </w:pPr>
      <w:r>
        <w:rPr>
          <w:rFonts w:ascii="Times New Roman"/>
          <w:b w:val="false"/>
          <w:i w:val="false"/>
          <w:color w:val="000000"/>
          <w:sz w:val="28"/>
        </w:rPr>
        <w:t>
      (o) Конфиденциальность: процесс оценки конкурсных заявок должен быть конфиденциальным до публикации информации о присуждении контракта.</w:t>
      </w:r>
    </w:p>
    <w:p>
      <w:pPr>
        <w:spacing w:after="0"/>
        <w:ind w:left="0"/>
        <w:jc w:val="both"/>
      </w:pPr>
      <w:r>
        <w:rPr>
          <w:rFonts w:ascii="Times New Roman"/>
          <w:b w:val="false"/>
          <w:i w:val="false"/>
          <w:color w:val="000000"/>
          <w:sz w:val="28"/>
        </w:rPr>
        <w:t>
      (p) Системы электронных торгов: могут использоваться системы электронных закупок при условии, что Банк удовлетворен параметрами систем, при этом, среди прочего, система должна быть безопасной и поддерживать целостность, конфиденциальность и аутентичность поданных конкурсных заявок.</w:t>
      </w:r>
    </w:p>
    <w:p>
      <w:pPr>
        <w:spacing w:after="0"/>
        <w:ind w:left="0"/>
        <w:jc w:val="both"/>
      </w:pPr>
      <w:r>
        <w:rPr>
          <w:rFonts w:ascii="Times New Roman"/>
          <w:b w:val="false"/>
          <w:i w:val="false"/>
          <w:color w:val="000000"/>
          <w:sz w:val="28"/>
        </w:rPr>
        <w:t>
      (q) Мошенничество и коррупция: в соответствии с Руководством по закупкам, вся конкурсная документация и контракты должны включать положения политики Банка по применению санкций к фирмам или лицам, уличенным в мошеннической и/или коррупционной деятельности, как определено в Руководстве по закупкам.</w:t>
      </w:r>
    </w:p>
    <w:p>
      <w:pPr>
        <w:spacing w:after="0"/>
        <w:ind w:left="0"/>
        <w:jc w:val="both"/>
      </w:pPr>
      <w:r>
        <w:rPr>
          <w:rFonts w:ascii="Times New Roman"/>
          <w:b w:val="false"/>
          <w:i w:val="false"/>
          <w:color w:val="000000"/>
          <w:sz w:val="28"/>
        </w:rPr>
        <w:t>
      (r)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Займа, должен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а также допускать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при проведении проверок и аудита, предусмотренных в Руководстве по закупкам, являются препятствующей практикой согласно определению указанного Руководства.</w:t>
      </w:r>
    </w:p>
    <w:p>
      <w:pPr>
        <w:spacing w:after="0"/>
        <w:ind w:left="0"/>
        <w:jc w:val="both"/>
      </w:pPr>
      <w:r>
        <w:rPr>
          <w:rFonts w:ascii="Times New Roman"/>
          <w:b w:val="false"/>
          <w:i w:val="false"/>
          <w:color w:val="000000"/>
          <w:sz w:val="28"/>
        </w:rPr>
        <w:t xml:space="preserve">
      (s) Публикация информации о присуждении контрактов: организатор торгов должен опубликовать следующую информацию о присуждении контрактов на бесплатном веб-сайте с открытым доступом или использованием других средств публикации, приемлемых для Банка: (а) наименование каждого участника конкурса, который подал заявку; (b) цены конкурсных заявок, которые были оглашены во время вскрытия конвертов с конкурсными заявками; (с) наименования участников и оценочную стоимость каждой конкурсной заявки, которая проходила оценку; (d) наименования участников торгов, заявки которых были отклонены, и причины отклонения этих заявок; (е) наименование победителя торгов и предложенная им цена, а также продолжительность и краткий обзор охвата присужденного контракта. </w:t>
      </w:r>
    </w:p>
    <w:bookmarkStart w:name="z65" w:id="65"/>
    <w:p>
      <w:pPr>
        <w:spacing w:after="0"/>
        <w:ind w:left="0"/>
        <w:jc w:val="left"/>
      </w:pPr>
      <w:r>
        <w:rPr>
          <w:rFonts w:ascii="Times New Roman"/>
          <w:b/>
          <w:i w:val="false"/>
          <w:color w:val="000000"/>
        </w:rPr>
        <w:t xml:space="preserve"> ДОПОЛНЕНИЕ 3</w:t>
      </w:r>
      <w:r>
        <w:br/>
      </w:r>
      <w:r>
        <w:rPr>
          <w:rFonts w:ascii="Times New Roman"/>
          <w:b/>
          <w:i w:val="false"/>
          <w:color w:val="000000"/>
        </w:rPr>
        <w:t>График Погашения</w:t>
      </w:r>
    </w:p>
    <w:bookmarkEnd w:id="65"/>
    <w:bookmarkStart w:name="z66" w:id="66"/>
    <w:p>
      <w:pPr>
        <w:spacing w:after="0"/>
        <w:ind w:left="0"/>
        <w:jc w:val="both"/>
      </w:pPr>
      <w:r>
        <w:rPr>
          <w:rFonts w:ascii="Times New Roman"/>
          <w:b w:val="false"/>
          <w:i w:val="false"/>
          <w:color w:val="000000"/>
          <w:sz w:val="28"/>
        </w:rPr>
        <w:t xml:space="preserve">
      1. Ниже в таблице указаны даты платежей в погашение основного Займа и процент от общей основной суммы Займа, выплачиваемого на каждую дату погашения основного долга ("Очередной платеж"). Если средства Займа будут полностью сняты на первую дату платежа в погашение основного Займа, основная сумма Займа, подлежащая погашению Заемщиком на каждую дату платежа в погашение основного Займа, определяется Банком путем умножения: (а) суммы Займа, снятой на первую дату платежа в погашение основного Займа; (б) очередной платеж для каждой даты платежа в погашение основного Займа, такая сумма погашения будет корректироваться по мере необходимости для вычета сумм,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графика, и к которым применяется конвертация валюты.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4"/>
        <w:gridCol w:w="2506"/>
      </w:tblGrid>
      <w:tr>
        <w:trPr>
          <w:trHeight w:val="30" w:hRule="atLeast"/>
        </w:trPr>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в погашение основного Займа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Очередной платеж (в процентах)</w:t>
            </w:r>
          </w:p>
        </w:tc>
      </w:tr>
      <w:tr>
        <w:trPr>
          <w:trHeight w:val="30" w:hRule="atLeast"/>
        </w:trPr>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Каждое 15 мая и 15 ноября, начиная с 15 мая 2020 года до 15 мая 2031 года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 </w:t>
            </w:r>
          </w:p>
        </w:tc>
      </w:tr>
      <w:tr>
        <w:trPr>
          <w:trHeight w:val="30" w:hRule="atLeast"/>
        </w:trPr>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ноября 2031 года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w:t>
            </w:r>
          </w:p>
        </w:tc>
      </w:tr>
    </w:tbl>
    <w:p>
      <w:pPr>
        <w:spacing w:after="0"/>
        <w:ind w:left="0"/>
        <w:jc w:val="left"/>
      </w:pPr>
      <w:r>
        <w:br/>
      </w:r>
      <w:r>
        <w:rPr>
          <w:rFonts w:ascii="Times New Roman"/>
          <w:b w:val="false"/>
          <w:i w:val="false"/>
          <w:color w:val="000000"/>
          <w:sz w:val="28"/>
        </w:rPr>
        <w:t>
</w:t>
      </w:r>
    </w:p>
    <w:bookmarkStart w:name="z67" w:id="67"/>
    <w:p>
      <w:pPr>
        <w:spacing w:after="0"/>
        <w:ind w:left="0"/>
        <w:jc w:val="both"/>
      </w:pPr>
      <w:r>
        <w:rPr>
          <w:rFonts w:ascii="Times New Roman"/>
          <w:b w:val="false"/>
          <w:i w:val="false"/>
          <w:color w:val="000000"/>
          <w:sz w:val="28"/>
        </w:rPr>
        <w:t>
      2. Если средства Займа не будут полностью сняты до первой даты платежа в погашение основного Займа, основная сумма Займа, подлежащая погашению Заемщиком на каждую дату платежа в погашение основного Займа, определяется следующим образом:</w:t>
      </w:r>
    </w:p>
    <w:bookmarkEnd w:id="67"/>
    <w:p>
      <w:pPr>
        <w:spacing w:after="0"/>
        <w:ind w:left="0"/>
        <w:jc w:val="both"/>
      </w:pPr>
      <w:r>
        <w:rPr>
          <w:rFonts w:ascii="Times New Roman"/>
          <w:b w:val="false"/>
          <w:i w:val="false"/>
          <w:color w:val="000000"/>
          <w:sz w:val="28"/>
        </w:rPr>
        <w:t xml:space="preserve">
      (a) В той степени, в которой любые средства Займа были сняты на первую дату платежа в погашение основного Займа, Заемщик должен погасить сумму Займа, снятую на такую дату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Графика.</w:t>
      </w:r>
    </w:p>
    <w:p>
      <w:pPr>
        <w:spacing w:after="0"/>
        <w:ind w:left="0"/>
        <w:jc w:val="both"/>
      </w:pPr>
      <w:r>
        <w:rPr>
          <w:rFonts w:ascii="Times New Roman"/>
          <w:b w:val="false"/>
          <w:i w:val="false"/>
          <w:color w:val="000000"/>
          <w:sz w:val="28"/>
        </w:rPr>
        <w:t xml:space="preserve">
      (b) Любые суммы, снятые после первой даты платежа в погашение основного Займа, должны погашаться на каждую дату платежа в погашение основного Займа, после даты такого снятия в суммах, определенных Банком путем умножения сумм каждого такого снятия на долю, числителем которых является изначальный Очередной платеж, указанный в таблице в </w:t>
      </w:r>
      <w:r>
        <w:rPr>
          <w:rFonts w:ascii="Times New Roman"/>
          <w:b w:val="false"/>
          <w:i w:val="false"/>
          <w:color w:val="000000"/>
          <w:sz w:val="28"/>
        </w:rPr>
        <w:t>пункте 1</w:t>
      </w:r>
      <w:r>
        <w:rPr>
          <w:rFonts w:ascii="Times New Roman"/>
          <w:b w:val="false"/>
          <w:i w:val="false"/>
          <w:color w:val="000000"/>
          <w:sz w:val="28"/>
        </w:rPr>
        <w:t xml:space="preserve"> настоящего Графика для погашения основного долга Займа ("Изначальный очередной платеж") и, знаменателем которых является сумма всех оставшихся Изначальных очередных платежей для дат платежей в погашение основного Займа, приходящихся на или после такой даты, такие суммы, подлежащие погашению будут корректироваться по мере необходимости, с целью вычета сумм,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Графика, и к которым применяется Конвертация валюты.</w:t>
      </w:r>
    </w:p>
    <w:bookmarkStart w:name="z68" w:id="68"/>
    <w:p>
      <w:pPr>
        <w:spacing w:after="0"/>
        <w:ind w:left="0"/>
        <w:jc w:val="both"/>
      </w:pPr>
      <w:r>
        <w:rPr>
          <w:rFonts w:ascii="Times New Roman"/>
          <w:b w:val="false"/>
          <w:i w:val="false"/>
          <w:color w:val="000000"/>
          <w:sz w:val="28"/>
        </w:rPr>
        <w:t>
      3. (а)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p>
    <w:bookmarkEnd w:id="68"/>
    <w:p>
      <w:pPr>
        <w:spacing w:after="0"/>
        <w:ind w:left="0"/>
        <w:jc w:val="both"/>
      </w:pPr>
      <w:r>
        <w:rPr>
          <w:rFonts w:ascii="Times New Roman"/>
          <w:b w:val="false"/>
          <w:i w:val="false"/>
          <w:color w:val="000000"/>
          <w:sz w:val="28"/>
        </w:rPr>
        <w:t>
      (b) Несмотря на положения подпункта (а) настоящего пункта, если в любое время Банк примет систему даты выставления счета, при которой счета выписываются на или после соответствующей даты платежа в погашение основного Займа, положения такого подпункта больше не будут применяться к любым снятиям после принятия такой системы выставления счетов.</w:t>
      </w:r>
    </w:p>
    <w:bookmarkStart w:name="z69" w:id="69"/>
    <w:p>
      <w:pPr>
        <w:spacing w:after="0"/>
        <w:ind w:left="0"/>
        <w:jc w:val="both"/>
      </w:pPr>
      <w:r>
        <w:rPr>
          <w:rFonts w:ascii="Times New Roman"/>
          <w:b w:val="false"/>
          <w:i w:val="false"/>
          <w:color w:val="000000"/>
          <w:sz w:val="28"/>
        </w:rPr>
        <w:t xml:space="preserve">
      4. Независимо от положений </w:t>
      </w:r>
      <w:r>
        <w:rPr>
          <w:rFonts w:ascii="Times New Roman"/>
          <w:b w:val="false"/>
          <w:i w:val="false"/>
          <w:color w:val="000000"/>
          <w:sz w:val="28"/>
        </w:rPr>
        <w:t>пунктов 1</w:t>
      </w:r>
      <w:r>
        <w:rPr>
          <w:rFonts w:ascii="Times New Roman"/>
          <w:b w:val="false"/>
          <w:i w:val="false"/>
          <w:color w:val="000000"/>
          <w:sz w:val="28"/>
        </w:rPr>
        <w:t xml:space="preserve"> по </w:t>
      </w:r>
      <w:r>
        <w:rPr>
          <w:rFonts w:ascii="Times New Roman"/>
          <w:b w:val="false"/>
          <w:i w:val="false"/>
          <w:color w:val="000000"/>
          <w:sz w:val="28"/>
        </w:rPr>
        <w:t>2</w:t>
      </w:r>
      <w:r>
        <w:rPr>
          <w:rFonts w:ascii="Times New Roman"/>
          <w:b w:val="false"/>
          <w:i w:val="false"/>
          <w:color w:val="000000"/>
          <w:sz w:val="28"/>
        </w:rPr>
        <w:t xml:space="preserve"> настоящего Графика, в случае Конверсии Валюты всей или какой-либо части Снятой суммы Займа в утвержденную валюту сумма, конвертированная таким образом в утвержденную валюту, которая подлежит погашению на любую дату платежа в погашение основного Займа, наступающую в течение Периода конвертации, должна быть определена Банком путем умножения такой суммы в валюте ее деноминации непосредственно перед Конвертацией на или: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на (ii) валютный компонент экранной ставки, если Банк примет соответствующее решение согласно Руководству по конвертации.</w:t>
      </w:r>
    </w:p>
    <w:bookmarkEnd w:id="69"/>
    <w:bookmarkStart w:name="z70" w:id="70"/>
    <w:p>
      <w:pPr>
        <w:spacing w:after="0"/>
        <w:ind w:left="0"/>
        <w:jc w:val="both"/>
      </w:pPr>
      <w:r>
        <w:rPr>
          <w:rFonts w:ascii="Times New Roman"/>
          <w:b w:val="false"/>
          <w:i w:val="false"/>
          <w:color w:val="000000"/>
          <w:sz w:val="28"/>
        </w:rPr>
        <w:t xml:space="preserve">
      5. Если Снятые средства Займа номинированы в более чем одной Валютах займа, положения настоящего дополнения применяются отдельно к сумме, выраженной в каждой Валюте займа, чтобы было возможно разработать отдельный График Погашения для каждой из таких сумм. </w:t>
      </w:r>
    </w:p>
    <w:bookmarkEnd w:id="70"/>
    <w:bookmarkStart w:name="z71" w:id="71"/>
    <w:p>
      <w:pPr>
        <w:spacing w:after="0"/>
        <w:ind w:left="0"/>
        <w:jc w:val="left"/>
      </w:pPr>
      <w:r>
        <w:rPr>
          <w:rFonts w:ascii="Times New Roman"/>
          <w:b/>
          <w:i w:val="false"/>
          <w:color w:val="000000"/>
        </w:rPr>
        <w:t xml:space="preserve"> ПРИЛОЖЕНИЕ</w:t>
      </w:r>
    </w:p>
    <w:bookmarkEnd w:id="71"/>
    <w:bookmarkStart w:name="z72" w:id="72"/>
    <w:p>
      <w:pPr>
        <w:spacing w:after="0"/>
        <w:ind w:left="0"/>
        <w:jc w:val="left"/>
      </w:pPr>
      <w:r>
        <w:rPr>
          <w:rFonts w:ascii="Times New Roman"/>
          <w:b/>
          <w:i w:val="false"/>
          <w:color w:val="000000"/>
        </w:rPr>
        <w:t xml:space="preserve"> Раздел I. Определения</w:t>
      </w:r>
    </w:p>
    <w:bookmarkEnd w:id="72"/>
    <w:bookmarkStart w:name="z73" w:id="73"/>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с изменениями и в редакции от января 2011 года.</w:t>
      </w:r>
    </w:p>
    <w:bookmarkEnd w:id="73"/>
    <w:bookmarkStart w:name="z74" w:id="74"/>
    <w:p>
      <w:pPr>
        <w:spacing w:after="0"/>
        <w:ind w:left="0"/>
        <w:jc w:val="both"/>
      </w:pPr>
      <w:r>
        <w:rPr>
          <w:rFonts w:ascii="Times New Roman"/>
          <w:b w:val="false"/>
          <w:i w:val="false"/>
          <w:color w:val="000000"/>
          <w:sz w:val="28"/>
        </w:rPr>
        <w:t>
      2. "Сеть бизнес консультантов" означает сеть Бизнес Консультантов, нанятых Заемщиком через МНЭ, для предоставления бесплатных услуг МСП на территории Заемщика.</w:t>
      </w:r>
    </w:p>
    <w:bookmarkEnd w:id="74"/>
    <w:bookmarkStart w:name="z75" w:id="75"/>
    <w:p>
      <w:pPr>
        <w:spacing w:after="0"/>
        <w:ind w:left="0"/>
        <w:jc w:val="both"/>
      </w:pPr>
      <w:r>
        <w:rPr>
          <w:rFonts w:ascii="Times New Roman"/>
          <w:b w:val="false"/>
          <w:i w:val="false"/>
          <w:color w:val="000000"/>
          <w:sz w:val="28"/>
        </w:rPr>
        <w:t xml:space="preserve">
      3. "Категория" означает категорию, указанную в таблице в </w:t>
      </w:r>
      <w:r>
        <w:rPr>
          <w:rFonts w:ascii="Times New Roman"/>
          <w:b w:val="false"/>
          <w:i w:val="false"/>
          <w:color w:val="000000"/>
          <w:sz w:val="28"/>
        </w:rPr>
        <w:t>разделе IV</w:t>
      </w:r>
      <w:r>
        <w:rPr>
          <w:rFonts w:ascii="Times New Roman"/>
          <w:b w:val="false"/>
          <w:i w:val="false"/>
          <w:color w:val="000000"/>
          <w:sz w:val="28"/>
        </w:rPr>
        <w:t xml:space="preserve"> дополнения 2 к настоящему Соглашению.</w:t>
      </w:r>
    </w:p>
    <w:bookmarkEnd w:id="75"/>
    <w:bookmarkStart w:name="z76" w:id="76"/>
    <w:p>
      <w:pPr>
        <w:spacing w:after="0"/>
        <w:ind w:left="0"/>
        <w:jc w:val="both"/>
      </w:pPr>
      <w:r>
        <w:rPr>
          <w:rFonts w:ascii="Times New Roman"/>
          <w:b w:val="false"/>
          <w:i w:val="false"/>
          <w:color w:val="000000"/>
          <w:sz w:val="28"/>
        </w:rPr>
        <w:t>
      4. "Руководство по консультантам" означает "Руководство по отбору и найму Консультантов в рамках займов МБРР, кредитов и грантов МАР, предоставляемых заемщикам Всемирного банка от января 2011 года (с изменениями и дополнениями от июля 2014 года).</w:t>
      </w:r>
    </w:p>
    <w:bookmarkEnd w:id="76"/>
    <w:bookmarkStart w:name="z77" w:id="77"/>
    <w:p>
      <w:pPr>
        <w:spacing w:after="0"/>
        <w:ind w:left="0"/>
        <w:jc w:val="both"/>
      </w:pPr>
      <w:r>
        <w:rPr>
          <w:rFonts w:ascii="Times New Roman"/>
          <w:b w:val="false"/>
          <w:i w:val="false"/>
          <w:color w:val="000000"/>
          <w:sz w:val="28"/>
        </w:rPr>
        <w:t xml:space="preserve">
      5. "Общие условия" означают "Общие условия для займов Международного банка реконструкции и развития" от 12 марта 2012 года с модификациями, предусмотренными в </w:t>
      </w:r>
      <w:r>
        <w:rPr>
          <w:rFonts w:ascii="Times New Roman"/>
          <w:b w:val="false"/>
          <w:i w:val="false"/>
          <w:color w:val="000000"/>
          <w:sz w:val="28"/>
        </w:rPr>
        <w:t>разделе II</w:t>
      </w:r>
      <w:r>
        <w:rPr>
          <w:rFonts w:ascii="Times New Roman"/>
          <w:b w:val="false"/>
          <w:i w:val="false"/>
          <w:color w:val="000000"/>
          <w:sz w:val="28"/>
        </w:rPr>
        <w:t xml:space="preserve"> настоящего Приложения.</w:t>
      </w:r>
    </w:p>
    <w:bookmarkEnd w:id="77"/>
    <w:bookmarkStart w:name="z78" w:id="78"/>
    <w:p>
      <w:pPr>
        <w:spacing w:after="0"/>
        <w:ind w:left="0"/>
        <w:jc w:val="both"/>
      </w:pPr>
      <w:r>
        <w:rPr>
          <w:rFonts w:ascii="Times New Roman"/>
          <w:b w:val="false"/>
          <w:i w:val="false"/>
          <w:color w:val="000000"/>
          <w:sz w:val="28"/>
        </w:rPr>
        <w:t>
      6. "МНЭ" означает Министерство национальной экономики Заемщика или любого его правопреемника.</w:t>
      </w:r>
    </w:p>
    <w:bookmarkEnd w:id="78"/>
    <w:bookmarkStart w:name="z79" w:id="79"/>
    <w:p>
      <w:pPr>
        <w:spacing w:after="0"/>
        <w:ind w:left="0"/>
        <w:jc w:val="both"/>
      </w:pPr>
      <w:r>
        <w:rPr>
          <w:rFonts w:ascii="Times New Roman"/>
          <w:b w:val="false"/>
          <w:i w:val="false"/>
          <w:color w:val="000000"/>
          <w:sz w:val="28"/>
        </w:rPr>
        <w:t xml:space="preserve">
      7. "Эксплуатационные расходы" означают разумные и необходимые расходы для реализации, управления, координации, мониторинга и оценки Проекта, утвержденные Банком на основании полугодовых бюджетов, приемлемых для Банка, и включая, </w:t>
      </w:r>
      <w:r>
        <w:rPr>
          <w:rFonts w:ascii="Times New Roman"/>
          <w:b w:val="false"/>
          <w:i/>
          <w:color w:val="000000"/>
          <w:sz w:val="28"/>
        </w:rPr>
        <w:t>среди прочего</w:t>
      </w:r>
      <w:r>
        <w:rPr>
          <w:rFonts w:ascii="Times New Roman"/>
          <w:b w:val="false"/>
          <w:i w:val="false"/>
          <w:color w:val="000000"/>
          <w:sz w:val="28"/>
        </w:rPr>
        <w:t>, расходы на: (i) коммунальные услуги и связь; (ii) организацию семинаров; (iii) расходные канцелярские товары; (iv) взаимодействие со СМИ и рекламу, печать и публикации; (v) устный и письменный перевод; (vi) банковские сборы; и (vii) аренду и заправку автомобиля. Эксплуатационные расходы не включают заработную плату или пособия госслужащим Заемщика.</w:t>
      </w:r>
    </w:p>
    <w:bookmarkEnd w:id="79"/>
    <w:bookmarkStart w:name="z80" w:id="80"/>
    <w:p>
      <w:pPr>
        <w:spacing w:after="0"/>
        <w:ind w:left="0"/>
        <w:jc w:val="both"/>
      </w:pPr>
      <w:r>
        <w:rPr>
          <w:rFonts w:ascii="Times New Roman"/>
          <w:b w:val="false"/>
          <w:i w:val="false"/>
          <w:color w:val="000000"/>
          <w:sz w:val="28"/>
        </w:rPr>
        <w:t xml:space="preserve">
      8. "Руководство по реализации Проекта" означает руководство, подготовленное и принятое Заемщиком, через МНЭ, приемлемое для Банка, в котором, среди прочего, описаны оперативные и административные процедуры в отношении подготовки, утверждения, обработки, финансирования, реализации и надзора за Проектом, включая руководство по финансовому управлению и консультационную программу для МСП согласно </w:t>
      </w:r>
      <w:r>
        <w:rPr>
          <w:rFonts w:ascii="Times New Roman"/>
          <w:b w:val="false"/>
          <w:i w:val="false"/>
          <w:color w:val="000000"/>
          <w:sz w:val="28"/>
        </w:rPr>
        <w:t>компоненту 1</w:t>
      </w:r>
      <w:r>
        <w:rPr>
          <w:rFonts w:ascii="Times New Roman"/>
          <w:b w:val="false"/>
          <w:i w:val="false"/>
          <w:color w:val="000000"/>
          <w:sz w:val="28"/>
        </w:rPr>
        <w:t xml:space="preserve"> Проекта.</w:t>
      </w:r>
    </w:p>
    <w:bookmarkEnd w:id="80"/>
    <w:bookmarkStart w:name="z81" w:id="81"/>
    <w:p>
      <w:pPr>
        <w:spacing w:after="0"/>
        <w:ind w:left="0"/>
        <w:jc w:val="both"/>
      </w:pPr>
      <w:r>
        <w:rPr>
          <w:rFonts w:ascii="Times New Roman"/>
          <w:b w:val="false"/>
          <w:i w:val="false"/>
          <w:color w:val="000000"/>
          <w:sz w:val="28"/>
        </w:rPr>
        <w:t>
      9. "Руководство по закупкам" означает "Руководство по закупкам товаров, работ и неконсультационных услуг по займам МБРР, кредитам и грантам МАР заемщиками Всемирного Банка" от января 2011 года (с изменениями и дополнениями от июля 2014 г.).</w:t>
      </w:r>
    </w:p>
    <w:bookmarkEnd w:id="81"/>
    <w:bookmarkStart w:name="z82" w:id="82"/>
    <w:p>
      <w:pPr>
        <w:spacing w:after="0"/>
        <w:ind w:left="0"/>
        <w:jc w:val="both"/>
      </w:pPr>
      <w:r>
        <w:rPr>
          <w:rFonts w:ascii="Times New Roman"/>
          <w:b w:val="false"/>
          <w:i w:val="false"/>
          <w:color w:val="000000"/>
          <w:sz w:val="28"/>
        </w:rPr>
        <w:t>
      10. "План закупок" означает план закупок Заемщика для Проекта от 21 января 2015 года, указанный в параграфах 1.18 Руководства по закупкам и 1.25 Руководства по отбору и найму консультантов. Он будет периодически обновляться в соответствии с положениями указанных пунктов.</w:t>
      </w:r>
    </w:p>
    <w:bookmarkEnd w:id="82"/>
    <w:bookmarkStart w:name="z83" w:id="83"/>
    <w:p>
      <w:pPr>
        <w:spacing w:after="0"/>
        <w:ind w:left="0"/>
        <w:jc w:val="both"/>
      </w:pPr>
      <w:r>
        <w:rPr>
          <w:rFonts w:ascii="Times New Roman"/>
          <w:b w:val="false"/>
          <w:i w:val="false"/>
          <w:color w:val="000000"/>
          <w:sz w:val="28"/>
        </w:rPr>
        <w:t xml:space="preserve">
      11. "Группа реализации проекта" или "ГРП" означает группу, соответствующую разделу I части А </w:t>
      </w:r>
      <w:r>
        <w:rPr>
          <w:rFonts w:ascii="Times New Roman"/>
          <w:b w:val="false"/>
          <w:i w:val="false"/>
          <w:color w:val="000000"/>
          <w:sz w:val="28"/>
        </w:rPr>
        <w:t>пункта 1</w:t>
      </w:r>
      <w:r>
        <w:rPr>
          <w:rFonts w:ascii="Times New Roman"/>
          <w:b w:val="false"/>
          <w:i w:val="false"/>
          <w:color w:val="000000"/>
          <w:sz w:val="28"/>
        </w:rPr>
        <w:t xml:space="preserve"> дополнения 2 к Соглашению.</w:t>
      </w:r>
    </w:p>
    <w:bookmarkEnd w:id="83"/>
    <w:bookmarkStart w:name="z84" w:id="84"/>
    <w:p>
      <w:pPr>
        <w:spacing w:after="0"/>
        <w:ind w:left="0"/>
        <w:jc w:val="both"/>
      </w:pPr>
      <w:r>
        <w:rPr>
          <w:rFonts w:ascii="Times New Roman"/>
          <w:b w:val="false"/>
          <w:i w:val="false"/>
          <w:color w:val="000000"/>
          <w:sz w:val="28"/>
        </w:rPr>
        <w:t xml:space="preserve">
      12. "Комиссия по реализации проекта" или "КРП" означает Комиссию по реализации проекта в соответствии с разделом I части А </w:t>
      </w:r>
      <w:r>
        <w:rPr>
          <w:rFonts w:ascii="Times New Roman"/>
          <w:b w:val="false"/>
          <w:i w:val="false"/>
          <w:color w:val="000000"/>
          <w:sz w:val="28"/>
        </w:rPr>
        <w:t>пункта 2</w:t>
      </w:r>
      <w:r>
        <w:rPr>
          <w:rFonts w:ascii="Times New Roman"/>
          <w:b w:val="false"/>
          <w:i w:val="false"/>
          <w:color w:val="000000"/>
          <w:sz w:val="28"/>
        </w:rPr>
        <w:t xml:space="preserve"> дополнения 2 к Соглашению.</w:t>
      </w:r>
    </w:p>
    <w:bookmarkEnd w:id="84"/>
    <w:bookmarkStart w:name="z85" w:id="85"/>
    <w:p>
      <w:pPr>
        <w:spacing w:after="0"/>
        <w:ind w:left="0"/>
        <w:jc w:val="both"/>
      </w:pPr>
      <w:r>
        <w:rPr>
          <w:rFonts w:ascii="Times New Roman"/>
          <w:b w:val="false"/>
          <w:i w:val="false"/>
          <w:color w:val="000000"/>
          <w:sz w:val="28"/>
        </w:rPr>
        <w:t>
      13. "МСП" означает малые и средние предприятия, осуществляющие деятельность на территории Заемщика.</w:t>
      </w:r>
    </w:p>
    <w:bookmarkEnd w:id="85"/>
    <w:bookmarkStart w:name="z86" w:id="86"/>
    <w:p>
      <w:pPr>
        <w:spacing w:after="0"/>
        <w:ind w:left="0"/>
        <w:jc w:val="both"/>
      </w:pPr>
      <w:r>
        <w:rPr>
          <w:rFonts w:ascii="Times New Roman"/>
          <w:b w:val="false"/>
          <w:i w:val="false"/>
          <w:color w:val="000000"/>
          <w:sz w:val="28"/>
        </w:rPr>
        <w:t xml:space="preserve">
      14. "Обучение" означает расходы (кроме расходов на консультационные услуги), понесенные в рамках Проекта и одобренные Банком на основе полугодовых планов обучения и обучающих поездок, приемлемых для Банка, включая разумные и необходимые поездки внутри страны и за рубеж, расходы на получение виз, понесенные участниками обучающих семинаров, в том числе проживание, питание, суточные внутри страны и за рубежом, согласно нормам Заемщика, расходы на регистрацию, оплату за обучение, оплату фасилитаторам, мелкие организационные расходы (включая стоимость канцелярских товаров, раздаточных и обучающих материалов), расходы на письменный и устный перевод, стоимость аренды помещения и прочие расходы, напрямую связанные с проведением обучающих семинаров и обучающих поездок. </w:t>
      </w:r>
    </w:p>
    <w:bookmarkEnd w:id="86"/>
    <w:bookmarkStart w:name="z87" w:id="87"/>
    <w:p>
      <w:pPr>
        <w:spacing w:after="0"/>
        <w:ind w:left="0"/>
        <w:jc w:val="left"/>
      </w:pPr>
      <w:r>
        <w:rPr>
          <w:rFonts w:ascii="Times New Roman"/>
          <w:b/>
          <w:i w:val="false"/>
          <w:color w:val="000000"/>
        </w:rPr>
        <w:t xml:space="preserve">  Раздел II. Изменения в Общих Условиях</w:t>
      </w:r>
    </w:p>
    <w:bookmarkEnd w:id="87"/>
    <w:p>
      <w:pPr>
        <w:spacing w:after="0"/>
        <w:ind w:left="0"/>
        <w:jc w:val="both"/>
      </w:pPr>
      <w:r>
        <w:rPr>
          <w:rFonts w:ascii="Times New Roman"/>
          <w:b w:val="false"/>
          <w:i w:val="false"/>
          <w:color w:val="000000"/>
          <w:sz w:val="28"/>
        </w:rPr>
        <w:t>
      Настоящим в Общие Условия вносятся следующие изменения:</w:t>
      </w:r>
    </w:p>
    <w:bookmarkStart w:name="z88" w:id="88"/>
    <w:p>
      <w:pPr>
        <w:spacing w:after="0"/>
        <w:ind w:left="0"/>
        <w:jc w:val="both"/>
      </w:pPr>
      <w:r>
        <w:rPr>
          <w:rFonts w:ascii="Times New Roman"/>
          <w:b w:val="false"/>
          <w:i w:val="false"/>
          <w:color w:val="000000"/>
          <w:sz w:val="28"/>
        </w:rPr>
        <w:t>
      1. В содержании ссылки на разделы, их названия и нумерация меняются для отражения изменений, предусмотренных ниже.</w:t>
      </w:r>
    </w:p>
    <w:bookmarkEnd w:id="88"/>
    <w:bookmarkStart w:name="z89" w:id="89"/>
    <w:p>
      <w:pPr>
        <w:spacing w:after="0"/>
        <w:ind w:left="0"/>
        <w:jc w:val="both"/>
      </w:pPr>
      <w:r>
        <w:rPr>
          <w:rFonts w:ascii="Times New Roman"/>
          <w:b w:val="false"/>
          <w:i w:val="false"/>
          <w:color w:val="000000"/>
          <w:sz w:val="28"/>
        </w:rPr>
        <w:t>
      2. В раздел 3.01. (Единовременная комиссия) вносится следующее изменение:</w:t>
      </w:r>
    </w:p>
    <w:bookmarkEnd w:id="89"/>
    <w:p>
      <w:pPr>
        <w:spacing w:after="0"/>
        <w:ind w:left="0"/>
        <w:jc w:val="both"/>
      </w:pPr>
      <w:r>
        <w:rPr>
          <w:rFonts w:ascii="Times New Roman"/>
          <w:b w:val="false"/>
          <w:i w:val="false"/>
          <w:color w:val="000000"/>
          <w:sz w:val="28"/>
        </w:rPr>
        <w:t>
      "Раздел 3.01. Единовременная комиссия; Комиссия за резервирование</w:t>
      </w:r>
    </w:p>
    <w:p>
      <w:pPr>
        <w:spacing w:after="0"/>
        <w:ind w:left="0"/>
        <w:jc w:val="both"/>
      </w:pPr>
      <w:r>
        <w:rPr>
          <w:rFonts w:ascii="Times New Roman"/>
          <w:b w:val="false"/>
          <w:i w:val="false"/>
          <w:color w:val="000000"/>
          <w:sz w:val="28"/>
        </w:rPr>
        <w:t>
      (a) Заемщик уплачивает Банку Единовременную комиссию в отношении суммы Займа по ставке, предусмотренной в Соглашении о займе ("Единовременная комиссия").</w:t>
      </w:r>
    </w:p>
    <w:p>
      <w:pPr>
        <w:spacing w:after="0"/>
        <w:ind w:left="0"/>
        <w:jc w:val="both"/>
      </w:pPr>
      <w:r>
        <w:rPr>
          <w:rFonts w:ascii="Times New Roman"/>
          <w:b w:val="false"/>
          <w:i w:val="false"/>
          <w:color w:val="000000"/>
          <w:sz w:val="28"/>
        </w:rPr>
        <w:t>
      (b) Заемщик уплачивает Банку комиссию за резервирование в отношении неснятого остатка Займа по ставке, предусмотренной в Соглашении о займе ("Комиссия за резервирование"). Комиссия за резервирование начисляется с даты по истечении 60 дней после даты Соглашения о займе по соответствующие даты, когда суммы снимаются Заемщиком со счета займа или аннулируются. Комиссия за резервирование подлежит уплате на полугодовой основе в конце каждого периода на каждую дату платежа".</w:t>
      </w:r>
    </w:p>
    <w:bookmarkStart w:name="z90" w:id="90"/>
    <w:p>
      <w:pPr>
        <w:spacing w:after="0"/>
        <w:ind w:left="0"/>
        <w:jc w:val="both"/>
      </w:pPr>
      <w:r>
        <w:rPr>
          <w:rFonts w:ascii="Times New Roman"/>
          <w:b w:val="false"/>
          <w:i w:val="false"/>
          <w:color w:val="000000"/>
          <w:sz w:val="28"/>
        </w:rPr>
        <w:t>
      3. В Приложении "Определения" все соответствующие ссылки на номера разделов и пунктов изменяются по мере необходимости для отражения изменений, предусмотренных в пункте 2 выше.</w:t>
      </w:r>
    </w:p>
    <w:bookmarkEnd w:id="90"/>
    <w:bookmarkStart w:name="z91" w:id="91"/>
    <w:p>
      <w:pPr>
        <w:spacing w:after="0"/>
        <w:ind w:left="0"/>
        <w:jc w:val="both"/>
      </w:pPr>
      <w:r>
        <w:rPr>
          <w:rFonts w:ascii="Times New Roman"/>
          <w:b w:val="false"/>
          <w:i w:val="false"/>
          <w:color w:val="000000"/>
          <w:sz w:val="28"/>
        </w:rPr>
        <w:t>
      4. В приложение вносится изменение путем включения нового пункта 19 со следующим определением "Комиссии за резервирование" с соответствующим изменением нумерации всех последующих пунктов:</w:t>
      </w:r>
    </w:p>
    <w:bookmarkEnd w:id="91"/>
    <w:p>
      <w:pPr>
        <w:spacing w:after="0"/>
        <w:ind w:left="0"/>
        <w:jc w:val="both"/>
      </w:pPr>
      <w:r>
        <w:rPr>
          <w:rFonts w:ascii="Times New Roman"/>
          <w:b w:val="false"/>
          <w:i w:val="false"/>
          <w:color w:val="000000"/>
          <w:sz w:val="28"/>
        </w:rPr>
        <w:t>
      "19. "Комиссия за резервирование" означает комиссию за резервирование, предусмотренную в Соглашении о займе для целей раздела 3.01(b)".</w:t>
      </w:r>
    </w:p>
    <w:bookmarkStart w:name="z92" w:id="92"/>
    <w:p>
      <w:pPr>
        <w:spacing w:after="0"/>
        <w:ind w:left="0"/>
        <w:jc w:val="both"/>
      </w:pPr>
      <w:r>
        <w:rPr>
          <w:rFonts w:ascii="Times New Roman"/>
          <w:b w:val="false"/>
          <w:i w:val="false"/>
          <w:color w:val="000000"/>
          <w:sz w:val="28"/>
        </w:rPr>
        <w:t>
      5. В перенумерованном пункте 49 (первоначально пункт 48) приложения определение "Единовременная комиссия" изменено путем замены ссылки с раздела 3.01 на раздел 3.01 (a).</w:t>
      </w:r>
    </w:p>
    <w:bookmarkEnd w:id="92"/>
    <w:bookmarkStart w:name="z93" w:id="93"/>
    <w:p>
      <w:pPr>
        <w:spacing w:after="0"/>
        <w:ind w:left="0"/>
        <w:jc w:val="both"/>
      </w:pPr>
      <w:r>
        <w:rPr>
          <w:rFonts w:ascii="Times New Roman"/>
          <w:b w:val="false"/>
          <w:i w:val="false"/>
          <w:color w:val="000000"/>
          <w:sz w:val="28"/>
        </w:rPr>
        <w:t>
      6. В перенумерованном пункте 68 (первоначально пункт 67) приложения определение термина "Платеж по займу" изменено следующим образом:</w:t>
      </w:r>
    </w:p>
    <w:bookmarkEnd w:id="93"/>
    <w:p>
      <w:pPr>
        <w:spacing w:after="0"/>
        <w:ind w:left="0"/>
        <w:jc w:val="both"/>
      </w:pPr>
      <w:r>
        <w:rPr>
          <w:rFonts w:ascii="Times New Roman"/>
          <w:b w:val="false"/>
          <w:i w:val="false"/>
          <w:color w:val="000000"/>
          <w:sz w:val="28"/>
        </w:rPr>
        <w:t>
      "68. Платеж по Займу" означает любую сумму, подлежащую уплате Сторонами Займа Банку в соответствии с юридическими соглашениями или настоящими общими условиями, включая (но не ограничиваясь) какую-либо сумму снятых средств Займа, вознаграждения, Единовременной комиссии, Комиссии за резервирование, процентной ставки за просроченный платеж (если таковой имеются), какой-либо штраф за досрочное погашение, какой-либо операционный сбор за конвертацию или досрочное прекращение конвертации, плату за фиксацию переменного спрэда (если таковая имеется), какую-либо премию, подлежащую уплате после установления фиксированного верхнего или нижнего предела процентной ставки и любые расходы, связанные с изменением условий, подлежащие оплате Заемщиком".</w:t>
      </w:r>
    </w:p>
    <w:bookmarkStart w:name="z94" w:id="94"/>
    <w:p>
      <w:pPr>
        <w:spacing w:after="0"/>
        <w:ind w:left="0"/>
        <w:jc w:val="both"/>
      </w:pPr>
      <w:r>
        <w:rPr>
          <w:rFonts w:ascii="Times New Roman"/>
          <w:b w:val="false"/>
          <w:i w:val="false"/>
          <w:color w:val="000000"/>
          <w:sz w:val="28"/>
        </w:rPr>
        <w:t xml:space="preserve">
      7. В перенумерованном пункте 73 (первоначально пункт 72) приложения определение "Даты платежа" изменено путем удаления слова "является" и вставки слов "и Комиссии за резервирование" после слова "процент". </w:t>
      </w:r>
    </w:p>
    <w:bookmarkEnd w:id="94"/>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(Проект повышения конкурентоспособности малых и средних предприятий) между Республикой Казахстан и Международным Банком Реконструкции и Развития на английском языке, совершенного 20 июля 2015 года в Астане.</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редактирования и лингвистической</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экспертизы документов</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Департамента документооборота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финансов</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Ахметжанова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