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4e7" w14:textId="643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2015 года № 387-V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  №12,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147. Функции уполномоченных органов, акимов городов районного значения, поселков, сел, сельских округов, осуществляющих государственный контроль за использованием и охраной земель»;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контроль за использованием и охраной земель осуществляют центральный уполномоченный орган, уполномоченные органы по контролю за использованием и охраной земель, иные уполномоченные органы, акимы городов районного значения, поселков, сел, сельских округов в пределах их компетенции.»;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«Выявленные нарушения земельного законодательства Республики Казахстан оформляются актом с приложением чертежа полевого обследования, которые подписываются специалистами, проводившими эти работы, и передаются уполномоченным органам, акимам городов районного значения, поселков, сел, сельских округов в рамках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акимами городов районного значения, поселков, сел, сельских округов выявленные нарушения земельного законодательства Республики Казахстан рассматриваются в соответствии с их функциями в порядке, определенном законодательством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Решение государственных инспекторов по использованию и охране земель и акима города районного значения, поселка, села, сельского округа о наложении административного взыскания может быть обжаловано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инспекторы по использованию и охране земель и акимы городов районного значения, поселков, сел, сельских округов осуществляют контроль за фактическим устранением нарушений земельного законодательства Республики Казахстан, а также выполнением собственниками земельных участков и землепользователями указаний и предписаний должностных лиц, осуществляющих государственный контроль за использованием и охраной земель.»;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акимы городов районного значения, поселков, сел, сельских округов.»;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147. Функции уполномоченных органов, акимов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районного значения, поселков, сел,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округов, осуществляющих государственный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 использованием и охраной земель»;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Акимы городов районного значения, поселков, сел, сельских округов организуют и проводят государственный контроль в отношении физических лиц (за исключением субъектов частного предпринимательства) на территории населенного пункта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недопущением незаконного занятия или обмена государственных земельных участков либо совершения других сделок, в прямой или косвенной форме нарушающих право государственной собственности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недопущением использования земель не по целевому назначению.».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3) и 4)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земельный налог на земли населенных пунктов с физических и юридических лиц, земельный участок которых находится в городе районного значения, поселке,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 с физических и юридических лиц, зарегистрированных в городе районного значения, поселке, селе.»;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Акимат области, города республиканского значения, столицы проводит обсуждение проекта областного бюджета, бюджета города республиканского значения, столицы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Акимат района (города областного значения) проводит обсуждение проекта бюджета района (города областного значения)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Акимат области, города республиканского значения, столицы проводит обсуждение годового отчета об исполнении областного бюджета, бюджета города республиканского значения, столицы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Акимат района (города областного значения) проводит обсуждение годового отчета об исполнении бюджета района (города областного значения)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Акимы городов районного значения, поселков, сел, сельских округов (далее – акимы) организуют сбор налогов на имущество, транспортные средства, земельного налога, уплачиваемых налогоплательщиком – физическим лицом.».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 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72;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Акимы городов районного значения, поселков, сел,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правонарушений, совершенных физическими лицами (за исключением субъектов частного предпринимательства) на территории населенного пункта), 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(в части теплоиспользующих установок потребителей) и второй), 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третьей и четвертой) (в части эксплуатации тепломеханического оборудования котельных всех мощностей и тепловых сетей (магистральных, внутриквартальных), 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котельных всех мощностей и тепловых сетей (магистральных, внутриквартальных), 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котельных всех мощностей), 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тепловых сетей (магистральных, внутриквартальных), 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пятой, шестой и седьмой), 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правонарушений, совершенных физическими лицами (за исключением субъектов частного предпринимательства) на территории населенного пункта),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восьмой, девятой, десятой и одиннадцатой), 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совершенные на территории городов районного значения, поселков, сел, сельских округов.».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 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9-1) и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уполномоченный орган по вопросам развития местного самоуправления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территориальный совет местного самоуправления – консультативно-совещательный орган при акимате города республиканского значения, столицы, города областного значения по вопросам взаимодействия акима города с населением, образуемый в границах одного или нескольких избирательных округов по выборам депутатов городского маслихата;»;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штрафы, взимаемые акимами города районного значения, поселка, села, сельского округа за административные правонарушения,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правонарушений, совершенных физическими лицами (за исключением субъектов частного предпринимательства) на территории населенного пункта), 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(в части теплоиспользующих установок потребителей) и второй), 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третьей и четвертой) (в части эксплуатации тепломеханического оборудования котельных всех мощностей и тепловых сетей (магистральных, внутриквартальных), 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котельных всех мощностей и тепловых сетей (магистральных, внутриквартальных), 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котельных всех мощностей), 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тепловых сетей (магистральных, внутриквартальных), 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пятой, шестой и седьмой), 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правонарушений, совершенных физическими лицами (за исключением субъектов частного предпринимательства) на территории населенного пункта),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восьмой, девятой, десятой и одиннадцатой), 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«2-5. К компетенции маслихатов городов республиканского значения, столицы, городов областного значения относятся принятие решения о создании территориальных советов местного самоуправления, утверждение их состава и положений о территориальных советах местного самоуправления.»;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«21-5)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«1-4. Акимат области, города республиканского значения, столицы проводит обсуждение проекта областного бюджета, бюджета города республиканского значения, столицы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области, города республиканского значения, столицы проводит обсуждение годового отчета об исполнении областного бюджета, бюджета города республиканского значения, столицы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«17-2)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Акимат района (города областного значения) проводит обсуждение проекта бюджета района (города областного значения)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проводит обсуждение годового отчета об исполнении бюджета района (города областного значения) на заседании общественного совета, создаваемого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«12-9) содействует выделению жилья матерям, награжденным подвеской «Алтын алқа»;»;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13), 14) и 15) следующего 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проводят инвентаризацию жилищного фонда города районного значения,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оказывают содействие микрокредитованию сельского населения в рамках программных документов системы государственного планирования.»;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Имущество, приобретенное за счет средств местного самоуправления, закрепляется на балансе аппарата акима города районного значения, поселка, села, сельского округа.»;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обсуждение бюджетных программ и рассмотрение проектов программных документов, программ развития местного сообщества;»;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 4-1), 4-2), 4-3), 4-4) и 4-5)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согласование отчуждения имущества, приобретенного за счет средств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обсуждение актуальных вопросов местного сообщества, проектов нормативных правовых актов, затрагивающих права и свободы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согласование представленных акимом района (города областного значения) кандидатур на должность акима города районного значения, поселка, села, сельского округа для дальнейшего внесения в маслихат района (города областного значения) для проведения выборов акима города районного значения,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инициирование вопроса об освобождении от должности акима города районного значения,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4-5)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главу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39-7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39-7. Территориальные советы местного 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Территориальные советы местного самоуправления создаются на основании решения маслихата города республиканского значения, столицы, города областного значения соответствующим акиматом в границах одного или нескольких избирательных округов по выборам депутатов городского маслихата в составе, предложенном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деятельности, основные задачи, полномочия  территориального совета местного самоуправления, его руководителя, порядок его избрания, статус принимаемых решений и другие организационные вопросы деятельности территориального совета местного самоуправления определяются положением, разработанным акиматом города республиканского значения, столицы, города областного значения и утвержденным маслихатом города республиканского значения, столицы, города областного значения на основе типового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территориальных советах местного самоуправления утверждается уполномоченным органом по вопросам развития местного самоуправления.».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«24-1) по согласованию с собранием местного сообщества принимают решение об отчуждении имущества, приобретенного за счет средств местного самоуправления;»;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«Имущество, закрепленное за государственным учреждением и приобретенное за счет средств местного самоуправления, не подлежит перераспределению между другими государственными юридическими лицами.».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