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4783" w14:textId="fc74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игорного бизнеса</w:t>
      </w:r>
    </w:p>
    <w:p>
      <w:pPr>
        <w:spacing w:after="0"/>
        <w:ind w:left="0"/>
        <w:jc w:val="both"/>
      </w:pPr>
      <w:r>
        <w:rPr>
          <w:rFonts w:ascii="Times New Roman"/>
          <w:b w:val="false"/>
          <w:i w:val="false"/>
          <w:color w:val="000000"/>
          <w:sz w:val="28"/>
        </w:rPr>
        <w:t>Закон Республики Казахстан от 24 апреля 2015 года № 310-V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главы 36-3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36-3. Производство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r>
        <w:br/>
      </w:r>
      <w:r>
        <w:rPr>
          <w:rFonts w:ascii="Times New Roman"/>
          <w:b w:val="false"/>
          <w:i w:val="false"/>
          <w:color w:val="000000"/>
          <w:sz w:val="28"/>
        </w:rPr>
        <w:t>
</w:t>
      </w:r>
      <w:r>
        <w:rPr>
          <w:rFonts w:ascii="Times New Roman"/>
          <w:b w:val="false"/>
          <w:i w:val="false"/>
          <w:color w:val="000000"/>
          <w:sz w:val="28"/>
        </w:rPr>
        <w:t>
      2) подпункт 12) части первой </w:t>
      </w:r>
      <w:r>
        <w:rPr>
          <w:rFonts w:ascii="Times New Roman"/>
          <w:b w:val="false"/>
          <w:i w:val="false"/>
          <w:color w:val="000000"/>
          <w:sz w:val="28"/>
        </w:rPr>
        <w:t>статьи 289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36-3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36-3. Производство по заявлениям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w:t>
      </w:r>
      <w:r>
        <w:br/>
      </w:r>
      <w:r>
        <w:rPr>
          <w:rFonts w:ascii="Times New Roman"/>
          <w:b w:val="false"/>
          <w:i w:val="false"/>
          <w:color w:val="000000"/>
          <w:sz w:val="28"/>
        </w:rPr>
        <w:t>
      Статья 317-9. Подача заявления</w:t>
      </w:r>
      <w:r>
        <w:br/>
      </w:r>
      <w:r>
        <w:rPr>
          <w:rFonts w:ascii="Times New Roman"/>
          <w:b w:val="false"/>
          <w:i w:val="false"/>
          <w:color w:val="000000"/>
          <w:sz w:val="28"/>
        </w:rPr>
        <w:t>
      Заявление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 подается гражданами и юридическими лицами, законные интересы которых были затронуты в продукции иностранного средства массовой информации, прокурором или уполномоченным органом в суд в письменной форме либо в форме электронного документа по месту нахождения заявителя.</w:t>
      </w:r>
      <w:r>
        <w:br/>
      </w:r>
      <w:r>
        <w:rPr>
          <w:rFonts w:ascii="Times New Roman"/>
          <w:b w:val="false"/>
          <w:i w:val="false"/>
          <w:color w:val="000000"/>
          <w:sz w:val="28"/>
        </w:rPr>
        <w:t>
      Статья 317-10. Содержание заявления</w:t>
      </w:r>
      <w:r>
        <w:br/>
      </w:r>
      <w:r>
        <w:rPr>
          <w:rFonts w:ascii="Times New Roman"/>
          <w:b w:val="false"/>
          <w:i w:val="false"/>
          <w:color w:val="000000"/>
          <w:sz w:val="28"/>
        </w:rPr>
        <w:t>
      В заявлении о признании интернет-казино,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законодательным актам Республики Казахстан, изложены факты, подтверждающие распространение изложенной в заявлении информации.</w:t>
      </w:r>
      <w:r>
        <w:br/>
      </w:r>
      <w:r>
        <w:rPr>
          <w:rFonts w:ascii="Times New Roman"/>
          <w:b w:val="false"/>
          <w:i w:val="false"/>
          <w:color w:val="000000"/>
          <w:sz w:val="28"/>
        </w:rPr>
        <w:t>
      Статья 317-11. Решение суда по заявлению</w:t>
      </w:r>
      <w:r>
        <w:br/>
      </w:r>
      <w:r>
        <w:rPr>
          <w:rFonts w:ascii="Times New Roman"/>
          <w:b w:val="false"/>
          <w:i w:val="false"/>
          <w:color w:val="000000"/>
          <w:sz w:val="28"/>
        </w:rPr>
        <w:t>
      Суд, признав, что интернет-казино,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законодательным актам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иностранного средства массовой информации. Решение суда направляется в соответствующий государственный орган.».</w:t>
      </w:r>
    </w:p>
    <w:bookmarkEnd w:id="1"/>
    <w:bookmarkStart w:name="z6" w:id="2"/>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w:t>
      </w:r>
      <w:r>
        <w:br/>
      </w:r>
      <w:r>
        <w:rPr>
          <w:rFonts w:ascii="Times New Roman"/>
          <w:b w:val="false"/>
          <w:i w:val="false"/>
          <w:color w:val="000000"/>
          <w:sz w:val="28"/>
        </w:rPr>
        <w:t>
</w:t>
      </w:r>
      <w:r>
        <w:rPr>
          <w:rFonts w:ascii="Times New Roman"/>
          <w:b w:val="false"/>
          <w:i w:val="false"/>
          <w:color w:val="000000"/>
          <w:sz w:val="28"/>
        </w:rPr>
        <w:t>
      1) абзац первый </w:t>
      </w:r>
      <w:r>
        <w:rPr>
          <w:rFonts w:ascii="Times New Roman"/>
          <w:b w:val="false"/>
          <w:i w:val="false"/>
          <w:color w:val="000000"/>
          <w:sz w:val="28"/>
        </w:rPr>
        <w:t>статьи 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«Плательщиками налога на игорный бизнес являются юридические лица, осуществляющие деятельность по оказанию услуг:»;</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413 изложить в следующей редакции:</w:t>
      </w:r>
      <w:r>
        <w:br/>
      </w:r>
      <w:r>
        <w:rPr>
          <w:rFonts w:ascii="Times New Roman"/>
          <w:b w:val="false"/>
          <w:i w:val="false"/>
          <w:color w:val="000000"/>
          <w:sz w:val="28"/>
        </w:rPr>
        <w:t>
      «3) кассу тотализатора – 150-кратный размер месячного расчетного показателя в месяц;</w:t>
      </w:r>
      <w:r>
        <w:br/>
      </w:r>
      <w:r>
        <w:rPr>
          <w:rFonts w:ascii="Times New Roman"/>
          <w:b w:val="false"/>
          <w:i w:val="false"/>
          <w:color w:val="000000"/>
          <w:sz w:val="28"/>
        </w:rPr>
        <w:t>
      4) электронную кассу тотализатора – 2 000-кратный размер месячного расчетного показателя в месяц;</w:t>
      </w:r>
      <w:r>
        <w:br/>
      </w:r>
      <w:r>
        <w:rPr>
          <w:rFonts w:ascii="Times New Roman"/>
          <w:b w:val="false"/>
          <w:i w:val="false"/>
          <w:color w:val="000000"/>
          <w:sz w:val="28"/>
        </w:rPr>
        <w:t>
      5) кассу букмекерской конторы – 150-кратный размер месячного расчетного показателя в месяц;</w:t>
      </w:r>
      <w:r>
        <w:br/>
      </w:r>
      <w:r>
        <w:rPr>
          <w:rFonts w:ascii="Times New Roman"/>
          <w:b w:val="false"/>
          <w:i w:val="false"/>
          <w:color w:val="000000"/>
          <w:sz w:val="28"/>
        </w:rPr>
        <w:t>
      6) электронную кассу букмекерской конторы – 2 000-кратный размер месячного расчетного показателя в месяц.».</w:t>
      </w:r>
    </w:p>
    <w:bookmarkEnd w:id="2"/>
    <w:bookmarkStart w:name="z9"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8 апреля 2015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445. Нарушение законодательства Республики Казахстан об</w:t>
      </w:r>
      <w:r>
        <w:br/>
      </w:r>
      <w:r>
        <w:rPr>
          <w:rFonts w:ascii="Times New Roman"/>
          <w:b w:val="false"/>
          <w:i w:val="false"/>
          <w:color w:val="000000"/>
          <w:sz w:val="28"/>
        </w:rPr>
        <w:t>
                   игорном бизнесе</w:t>
      </w:r>
      <w:r>
        <w:br/>
      </w: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r>
        <w:br/>
      </w: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r>
        <w:br/>
      </w: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xml:space="preserve">
      11. Действия (бездействие), предусмотренные частями первой, второй, четвертой, пятой, шестой, седьмой, девятой и десятой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r>
        <w:br/>
      </w: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статьи 804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w:t>
      </w:r>
      <w:r>
        <w:rPr>
          <w:rFonts w:ascii="Times New Roman"/>
          <w:b w:val="false"/>
          <w:i w:val="false"/>
          <w:color w:val="000000"/>
          <w:sz w:val="28"/>
        </w:rPr>
        <w:t>445</w:t>
      </w:r>
      <w:r>
        <w:rPr>
          <w:rFonts w:ascii="Times New Roman"/>
          <w:b w:val="false"/>
          <w:i w:val="false"/>
          <w:color w:val="000000"/>
          <w:sz w:val="28"/>
        </w:rPr>
        <w:t xml:space="preserve"> (части первая и десятая)» заменить словами «</w:t>
      </w:r>
      <w:r>
        <w:rPr>
          <w:rFonts w:ascii="Times New Roman"/>
          <w:b w:val="false"/>
          <w:i w:val="false"/>
          <w:color w:val="000000"/>
          <w:sz w:val="28"/>
        </w:rPr>
        <w:t>445</w:t>
      </w:r>
      <w:r>
        <w:rPr>
          <w:rFonts w:ascii="Times New Roman"/>
          <w:b w:val="false"/>
          <w:i w:val="false"/>
          <w:color w:val="000000"/>
          <w:sz w:val="28"/>
        </w:rPr>
        <w:t xml:space="preserve"> (части первая и одиннадцатая)»;</w:t>
      </w:r>
      <w:r>
        <w:br/>
      </w:r>
      <w:r>
        <w:rPr>
          <w:rFonts w:ascii="Times New Roman"/>
          <w:b w:val="false"/>
          <w:i w:val="false"/>
          <w:color w:val="000000"/>
          <w:sz w:val="28"/>
        </w:rPr>
        <w:t>
</w:t>
      </w:r>
      <w:r>
        <w:rPr>
          <w:rFonts w:ascii="Times New Roman"/>
          <w:b w:val="false"/>
          <w:i w:val="false"/>
          <w:color w:val="000000"/>
          <w:sz w:val="28"/>
        </w:rPr>
        <w:t>
      в подпункте 14) слова «и лотерейной деятельности» исключить;</w:t>
      </w:r>
      <w:r>
        <w:br/>
      </w:r>
      <w:r>
        <w:rPr>
          <w:rFonts w:ascii="Times New Roman"/>
          <w:b w:val="false"/>
          <w:i w:val="false"/>
          <w:color w:val="000000"/>
          <w:sz w:val="28"/>
        </w:rPr>
        <w:t>
</w:t>
      </w:r>
      <w:r>
        <w:rPr>
          <w:rFonts w:ascii="Times New Roman"/>
          <w:b w:val="false"/>
          <w:i w:val="false"/>
          <w:color w:val="000000"/>
          <w:sz w:val="28"/>
        </w:rPr>
        <w:t>
      в подпункте 37) слова «</w:t>
      </w:r>
      <w:r>
        <w:rPr>
          <w:rFonts w:ascii="Times New Roman"/>
          <w:b w:val="false"/>
          <w:i w:val="false"/>
          <w:color w:val="000000"/>
          <w:sz w:val="28"/>
        </w:rPr>
        <w:t>445</w:t>
      </w:r>
      <w:r>
        <w:rPr>
          <w:rFonts w:ascii="Times New Roman"/>
          <w:b w:val="false"/>
          <w:i w:val="false"/>
          <w:color w:val="000000"/>
          <w:sz w:val="28"/>
        </w:rPr>
        <w:t xml:space="preserve"> (части третья, девятая, десятая и двенадцатая)» заменить словами «</w:t>
      </w:r>
      <w:r>
        <w:rPr>
          <w:rFonts w:ascii="Times New Roman"/>
          <w:b w:val="false"/>
          <w:i w:val="false"/>
          <w:color w:val="000000"/>
          <w:sz w:val="28"/>
        </w:rPr>
        <w:t>445</w:t>
      </w:r>
      <w:r>
        <w:rPr>
          <w:rFonts w:ascii="Times New Roman"/>
          <w:b w:val="false"/>
          <w:i w:val="false"/>
          <w:color w:val="000000"/>
          <w:sz w:val="28"/>
        </w:rPr>
        <w:t xml:space="preserve"> (части третья, восьмая и двенадцатая)».</w:t>
      </w:r>
    </w:p>
    <w:bookmarkEnd w:id="3"/>
    <w:bookmarkStart w:name="z15"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6</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Запрещается реклама электронного казино и интернет-казино.».</w:t>
      </w:r>
    </w:p>
    <w:bookmarkEnd w:id="4"/>
    <w:bookmarkStart w:name="z17" w:id="5"/>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10, ст. 52; № 11, ст. 61; № 19-I, 19-II, ст. 96; № 23, ст. 143):</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r>
        <w:br/>
      </w:r>
      <w:r>
        <w:rPr>
          <w:rFonts w:ascii="Times New Roman"/>
          <w:b w:val="false"/>
          <w:i w:val="false"/>
          <w:color w:val="000000"/>
          <w:sz w:val="28"/>
        </w:rPr>
        <w:t>
</w:t>
      </w:r>
      <w:r>
        <w:rPr>
          <w:rFonts w:ascii="Times New Roman"/>
          <w:b w:val="false"/>
          <w:i w:val="false"/>
          <w:color w:val="000000"/>
          <w:sz w:val="28"/>
        </w:rPr>
        <w:t>
      дополнить подпунктами 2-1) и 4-1) следующего содержания:</w:t>
      </w:r>
      <w:r>
        <w:br/>
      </w:r>
      <w:r>
        <w:rPr>
          <w:rFonts w:ascii="Times New Roman"/>
          <w:b w:val="false"/>
          <w:i w:val="false"/>
          <w:color w:val="000000"/>
          <w:sz w:val="28"/>
        </w:rPr>
        <w:t>
      «2-1) оборудование для организации и проведения пари –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r>
        <w:br/>
      </w:r>
      <w:r>
        <w:rPr>
          <w:rFonts w:ascii="Times New Roman"/>
          <w:b w:val="false"/>
          <w:i w:val="false"/>
          <w:color w:val="000000"/>
          <w:sz w:val="28"/>
        </w:rPr>
        <w:t>
      «4-1) интернет-казино – интернет-ресурс,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r>
        <w:br/>
      </w:r>
      <w:r>
        <w:rPr>
          <w:rFonts w:ascii="Times New Roman"/>
          <w:b w:val="false"/>
          <w:i w:val="false"/>
          <w:color w:val="000000"/>
          <w:sz w:val="28"/>
        </w:rPr>
        <w:t>
      «14) игорное оборудование – устройства или приспособления, предназначенные и используемые для проведения азартных игр;»;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касса тотализатора или букмекерской конторы – место, где осуществляются прием ставок на пари, выплата выигрыша по нему;»;</w:t>
      </w:r>
      <w:r>
        <w:br/>
      </w:r>
      <w:r>
        <w:rPr>
          <w:rFonts w:ascii="Times New Roman"/>
          <w:b w:val="false"/>
          <w:i w:val="false"/>
          <w:color w:val="000000"/>
          <w:sz w:val="28"/>
        </w:rPr>
        <w:t>
      «21)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r>
        <w:br/>
      </w:r>
      <w:r>
        <w:rPr>
          <w:rFonts w:ascii="Times New Roman"/>
          <w:b w:val="false"/>
          <w:i w:val="false"/>
          <w:color w:val="000000"/>
          <w:sz w:val="28"/>
        </w:rPr>
        <w:t>
</w:t>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электронное казино – заведение, использующее аппаратно-программный комплекс и (или) интернет-ресурс, реализующее возможность организации и проведения азартных игр в режиме реального времени посредством сети Интернет и (или) электронных денег и предусматривающее получение выигрыша.»;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«2. На территории Республики Казахстан запрещаются:</w:t>
      </w:r>
      <w:r>
        <w:br/>
      </w:r>
      <w:r>
        <w:rPr>
          <w:rFonts w:ascii="Times New Roman"/>
          <w:b w:val="false"/>
          <w:i w:val="false"/>
          <w:color w:val="000000"/>
          <w:sz w:val="28"/>
        </w:rPr>
        <w:t>
      1) осуществление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видов деятельности в сфере игорного бизнеса;</w:t>
      </w:r>
      <w:r>
        <w:br/>
      </w:r>
      <w:r>
        <w:rPr>
          <w:rFonts w:ascii="Times New Roman"/>
          <w:b w:val="false"/>
          <w:i w:val="false"/>
          <w:color w:val="000000"/>
          <w:sz w:val="28"/>
        </w:rPr>
        <w:t>
      2) деятельность электронного казино и интернет-казино;</w:t>
      </w:r>
      <w:r>
        <w:br/>
      </w:r>
      <w:r>
        <w:rPr>
          <w:rFonts w:ascii="Times New Roman"/>
          <w:b w:val="false"/>
          <w:i w:val="false"/>
          <w:color w:val="000000"/>
          <w:sz w:val="28"/>
        </w:rPr>
        <w:t>
      3) организация и проведение азартных игр и (или) пари, предусматривающих прием ставок и (или) выдачу выигрыша в виде иного имущества, кроме денег, за исключением деятельности казино, где допускается выдача выигрыша в виде иного имущества;</w:t>
      </w:r>
      <w:r>
        <w:br/>
      </w:r>
      <w:r>
        <w:rPr>
          <w:rFonts w:ascii="Times New Roman"/>
          <w:b w:val="false"/>
          <w:i w:val="false"/>
          <w:color w:val="000000"/>
          <w:sz w:val="28"/>
        </w:rPr>
        <w:t>
      4) установка и использование игорного оборудования в предпринимательских целях, за исключением мест,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r>
        <w:br/>
      </w:r>
      <w:r>
        <w:rPr>
          <w:rFonts w:ascii="Times New Roman"/>
          <w:b w:val="false"/>
          <w:i w:val="false"/>
          <w:color w:val="000000"/>
          <w:sz w:val="28"/>
        </w:rPr>
        <w:t>
      5) заключение пари, прием (учет) ставок, выплата выигрыша вне игорных заведений (касс тотализаторов или букмекерских контор);</w:t>
      </w:r>
      <w:r>
        <w:br/>
      </w:r>
      <w:r>
        <w:rPr>
          <w:rFonts w:ascii="Times New Roman"/>
          <w:b w:val="false"/>
          <w:i w:val="false"/>
          <w:color w:val="000000"/>
          <w:sz w:val="28"/>
        </w:rPr>
        <w:t>
      6) заключение пари, прием (учет) ставок, выплата выигрыша лицами, не являющимися организаторами игорного бизнеса, осуществляющими деятельность тотализатора или букмекерской конторы.»;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8 дополнить подпунктами 7-1), 7-2), 7-3) и 7-4) следующего содержания:</w:t>
      </w:r>
      <w:r>
        <w:br/>
      </w:r>
      <w:r>
        <w:rPr>
          <w:rFonts w:ascii="Times New Roman"/>
          <w:b w:val="false"/>
          <w:i w:val="false"/>
          <w:color w:val="000000"/>
          <w:sz w:val="28"/>
        </w:rPr>
        <w:t>
      «7-1) осуществляет сбор и анализ отчетности, представляемой организатором игорного бизнеса;</w:t>
      </w:r>
      <w:r>
        <w:br/>
      </w:r>
      <w:r>
        <w:rPr>
          <w:rFonts w:ascii="Times New Roman"/>
          <w:b w:val="false"/>
          <w:i w:val="false"/>
          <w:color w:val="000000"/>
          <w:sz w:val="28"/>
        </w:rPr>
        <w:t>
      7-2) разрабатывает и утверждает форму представления отчетности организатора игорного бизнеса, правила осуществления сбора и анализа отчетности, представляемой организатором игорного бизнеса;</w:t>
      </w:r>
      <w:r>
        <w:br/>
      </w:r>
      <w:r>
        <w:rPr>
          <w:rFonts w:ascii="Times New Roman"/>
          <w:b w:val="false"/>
          <w:i w:val="false"/>
          <w:color w:val="000000"/>
          <w:sz w:val="28"/>
        </w:rPr>
        <w:t>
      7-3) осуществляет систематический сбор информации и анализ содержания интернет-ресурсов на предмет наличия признаков интернет-казино в порядке, им определяемом;</w:t>
      </w:r>
      <w:r>
        <w:br/>
      </w:r>
      <w:r>
        <w:rPr>
          <w:rFonts w:ascii="Times New Roman"/>
          <w:b w:val="false"/>
          <w:i w:val="false"/>
          <w:color w:val="000000"/>
          <w:sz w:val="28"/>
        </w:rPr>
        <w:t>
      7-4) ведет реестр касс тотализаторов и букмекерских контор;»;</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Игорные заведения, кассы тотализатора или букмекерской конторы должны располагаться в нежилых помещениях. Запрещается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«оборудования» дополнить словами «, оборудования для организации и проведения пари»;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одном казино должно быть установлено не менее тридцати игровых столов.»;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«пятидесяти» заменить словом «шестидесяти»;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«о техническом регулировании» заменить словами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слово «девяноста» заменить словами «девяноста пяти»;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слова «игорного оборудования» заменить словами «оборудования для организации и проведения пари»;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 xml:space="preserve"> слова «игорное оборудование, позволяющее участникам пари наблюдать развитие и исход события, на результат которого ими были сделаны ставки» заменить словами «оборудование для организации и проведения пари»;</w:t>
      </w:r>
      <w:r>
        <w:br/>
      </w:r>
      <w:r>
        <w:rPr>
          <w:rFonts w:ascii="Times New Roman"/>
          <w:b w:val="false"/>
          <w:i w:val="false"/>
          <w:color w:val="000000"/>
          <w:sz w:val="28"/>
        </w:rPr>
        <w:t>
</w:t>
      </w:r>
      <w:r>
        <w:rPr>
          <w:rFonts w:ascii="Times New Roman"/>
          <w:b w:val="false"/>
          <w:i w:val="false"/>
          <w:color w:val="000000"/>
          <w:sz w:val="28"/>
        </w:rPr>
        <w:t>
      дополнить пунктами 14, 15, 16 и 17 следующего содержания:</w:t>
      </w:r>
      <w:r>
        <w:br/>
      </w:r>
      <w:r>
        <w:rPr>
          <w:rFonts w:ascii="Times New Roman"/>
          <w:b w:val="false"/>
          <w:i w:val="false"/>
          <w:color w:val="000000"/>
          <w:sz w:val="28"/>
        </w:rPr>
        <w:t>
      «14.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w:t>
      </w:r>
      <w:r>
        <w:br/>
      </w:r>
      <w:r>
        <w:rPr>
          <w:rFonts w:ascii="Times New Roman"/>
          <w:b w:val="false"/>
          <w:i w:val="false"/>
          <w:color w:val="000000"/>
          <w:sz w:val="28"/>
        </w:rPr>
        <w:t>
      15. Букмекерские конторы должны быть оборудованы аппаратно-программным комплексом.</w:t>
      </w:r>
      <w:r>
        <w:br/>
      </w:r>
      <w:r>
        <w:rPr>
          <w:rFonts w:ascii="Times New Roman"/>
          <w:b w:val="false"/>
          <w:i w:val="false"/>
          <w:color w:val="000000"/>
          <w:sz w:val="28"/>
        </w:rPr>
        <w:t>
      16. Организатором игорного бизнеса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w:t>
      </w:r>
      <w:r>
        <w:br/>
      </w:r>
      <w:r>
        <w:rPr>
          <w:rFonts w:ascii="Times New Roman"/>
          <w:b w:val="false"/>
          <w:i w:val="false"/>
          <w:color w:val="000000"/>
          <w:sz w:val="28"/>
        </w:rPr>
        <w:t>
      1) юридическое лицо, учредителем или участником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w:t>
      </w:r>
      <w:r>
        <w:br/>
      </w:r>
      <w:r>
        <w:rPr>
          <w:rFonts w:ascii="Times New Roman"/>
          <w:b w:val="false"/>
          <w:i w:val="false"/>
          <w:color w:val="000000"/>
          <w:sz w:val="28"/>
        </w:rPr>
        <w:t>
      2) юридическое лицо, учредителем или участником которого является лицо, являвшееся учредителем или участником юридического лица, имеющего налоговую задолженность или признанного банкротом.</w:t>
      </w:r>
      <w:r>
        <w:br/>
      </w:r>
      <w:r>
        <w:rPr>
          <w:rFonts w:ascii="Times New Roman"/>
          <w:b w:val="false"/>
          <w:i w:val="false"/>
          <w:color w:val="000000"/>
          <w:sz w:val="28"/>
        </w:rPr>
        <w:t>
      17. Лицо, указанное в подпункте 1) пункта 16 настоящей статьи, не может быть назначено на руководящую должность в игорном заведении.»;</w:t>
      </w:r>
      <w:r>
        <w:br/>
      </w:r>
      <w:r>
        <w:rPr>
          <w:rFonts w:ascii="Times New Roman"/>
          <w:b w:val="false"/>
          <w:i w:val="false"/>
          <w:color w:val="000000"/>
          <w:sz w:val="28"/>
        </w:rPr>
        <w:t>
</w:t>
      </w:r>
      <w:r>
        <w:rPr>
          <w:rFonts w:ascii="Times New Roman"/>
          <w:b w:val="false"/>
          <w:i w:val="false"/>
          <w:color w:val="000000"/>
          <w:sz w:val="28"/>
        </w:rPr>
        <w:t>
      7) дополнить статьей 12-1 следующего содержания:</w:t>
      </w:r>
      <w:r>
        <w:br/>
      </w:r>
      <w:r>
        <w:rPr>
          <w:rFonts w:ascii="Times New Roman"/>
          <w:b w:val="false"/>
          <w:i w:val="false"/>
          <w:color w:val="000000"/>
          <w:sz w:val="28"/>
        </w:rPr>
        <w:t>
      «Статья 12-1. Аппаратно-программный комплекс букмекерской</w:t>
      </w:r>
      <w:r>
        <w:br/>
      </w:r>
      <w:r>
        <w:rPr>
          <w:rFonts w:ascii="Times New Roman"/>
          <w:b w:val="false"/>
          <w:i w:val="false"/>
          <w:color w:val="000000"/>
          <w:sz w:val="28"/>
        </w:rPr>
        <w:t>
                    конторы</w:t>
      </w:r>
      <w:r>
        <w:br/>
      </w:r>
      <w:r>
        <w:rPr>
          <w:rFonts w:ascii="Times New Roman"/>
          <w:b w:val="false"/>
          <w:i w:val="false"/>
          <w:color w:val="000000"/>
          <w:sz w:val="28"/>
        </w:rPr>
        <w:t>
      1. Сервер аппаратно-программного комплекса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Сервер аппаратно-программного комплекса должен находиться на территории Республики Казахстан.</w:t>
      </w:r>
      <w:r>
        <w:br/>
      </w:r>
      <w:r>
        <w:rPr>
          <w:rFonts w:ascii="Times New Roman"/>
          <w:b w:val="false"/>
          <w:i w:val="false"/>
          <w:color w:val="000000"/>
          <w:sz w:val="28"/>
        </w:rPr>
        <w:t>
      2. Организатор игорного бизнеса, осуществляющий деятельность букмекерской конторы,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выигрышей и выплат по ним.</w:t>
      </w:r>
      <w:r>
        <w:br/>
      </w:r>
      <w:r>
        <w:rPr>
          <w:rFonts w:ascii="Times New Roman"/>
          <w:b w:val="false"/>
          <w:i w:val="false"/>
          <w:color w:val="000000"/>
          <w:sz w:val="28"/>
        </w:rPr>
        <w:t>
      3. Аппаратно-программный комплекс должен обеспечивать взаимодействие с кассами букмекерских контор и осуществлять сбор и предоставление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пункте 1</w:t>
      </w:r>
      <w:r>
        <w:rPr>
          <w:rFonts w:ascii="Times New Roman"/>
          <w:b w:val="false"/>
          <w:i w:val="false"/>
          <w:color w:val="000000"/>
          <w:sz w:val="28"/>
        </w:rPr>
        <w:t xml:space="preserve"> статьи 13:</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для осуществления деятельности тотализатора или букмекерской конторы наличие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для осуществления деятельности казино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r>
        <w:br/>
      </w:r>
      <w:r>
        <w:rPr>
          <w:rFonts w:ascii="Times New Roman"/>
          <w:b w:val="false"/>
          <w:i w:val="false"/>
          <w:color w:val="000000"/>
          <w:sz w:val="28"/>
        </w:rPr>
        <w:t>
      1-2) для осуществления деятельности зала игровых автоматов наличие здания (части здания, строения, сооружения) на праве собственности или ином законном основании, соответствующего санитарно-эпидемиологическим и противопожарным нормам,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для осуществления деятельности казино и зала игровых автоматов наличие игорного оборудования на праве собственности;»;</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для осуществления деятельности букмекерской конторы и тотализатора наличие оборудования для организации и проведения пари на праве собственности;»;</w:t>
      </w:r>
      <w:r>
        <w:br/>
      </w:r>
      <w:r>
        <w:rPr>
          <w:rFonts w:ascii="Times New Roman"/>
          <w:b w:val="false"/>
          <w:i w:val="false"/>
          <w:color w:val="000000"/>
          <w:sz w:val="28"/>
        </w:rPr>
        <w:t>
</w:t>
      </w:r>
      <w:r>
        <w:rPr>
          <w:rFonts w:ascii="Times New Roman"/>
          <w:b w:val="false"/>
          <w:i w:val="false"/>
          <w:color w:val="000000"/>
          <w:sz w:val="28"/>
        </w:rPr>
        <w:t>
      в подпункте 4) слово «государственном» заменить словом «казахском»;</w:t>
      </w:r>
      <w:r>
        <w:br/>
      </w:r>
      <w:r>
        <w:rPr>
          <w:rFonts w:ascii="Times New Roman"/>
          <w:b w:val="false"/>
          <w:i w:val="false"/>
          <w:color w:val="000000"/>
          <w:sz w:val="28"/>
        </w:rPr>
        <w:t>
</w:t>
      </w:r>
      <w:r>
        <w:rPr>
          <w:rFonts w:ascii="Times New Roman"/>
          <w:b w:val="false"/>
          <w:i w:val="false"/>
          <w:color w:val="000000"/>
          <w:sz w:val="28"/>
        </w:rPr>
        <w:t>
      подпункты 5) и 6) изложить в следующей редакции:</w:t>
      </w:r>
      <w:r>
        <w:br/>
      </w:r>
      <w:r>
        <w:rPr>
          <w:rFonts w:ascii="Times New Roman"/>
          <w:b w:val="false"/>
          <w:i w:val="false"/>
          <w:color w:val="000000"/>
          <w:sz w:val="28"/>
        </w:rPr>
        <w:t>
      «5) для осуществления деятельности казино и зала игровых автоматов наличие образцов и номинаций применяемых легитимационных знаков на казахском и русском языках;</w:t>
      </w:r>
      <w:r>
        <w:br/>
      </w:r>
      <w:r>
        <w:rPr>
          <w:rFonts w:ascii="Times New Roman"/>
          <w:b w:val="false"/>
          <w:i w:val="false"/>
          <w:color w:val="000000"/>
          <w:sz w:val="28"/>
        </w:rPr>
        <w:t>
      6) наличие у заявителя обеспечения на каждое игорное заведение в виде обязательных резервов, определяемых настоящим Законом (в месячных расчетных показателях, установленных законом о республиканском бюджете), для осуществления следующих видов деятельности в сфере игорного бизнеса:</w:t>
      </w:r>
      <w:r>
        <w:br/>
      </w:r>
      <w:r>
        <w:rPr>
          <w:rFonts w:ascii="Times New Roman"/>
          <w:b w:val="false"/>
          <w:i w:val="false"/>
          <w:color w:val="000000"/>
          <w:sz w:val="28"/>
        </w:rPr>
        <w:t>
      казино и залов игровых автоматов – в размере 60 000;</w:t>
      </w:r>
      <w:r>
        <w:br/>
      </w:r>
      <w:r>
        <w:rPr>
          <w:rFonts w:ascii="Times New Roman"/>
          <w:b w:val="false"/>
          <w:i w:val="false"/>
          <w:color w:val="000000"/>
          <w:sz w:val="28"/>
        </w:rPr>
        <w:t>
      букмекерских контор – в размере 40 000;</w:t>
      </w:r>
      <w:r>
        <w:br/>
      </w:r>
      <w:r>
        <w:rPr>
          <w:rFonts w:ascii="Times New Roman"/>
          <w:b w:val="false"/>
          <w:i w:val="false"/>
          <w:color w:val="000000"/>
          <w:sz w:val="28"/>
        </w:rPr>
        <w:t>
      тотализаторов – в размере 10 000.»;</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r>
        <w:br/>
      </w:r>
      <w:r>
        <w:rPr>
          <w:rFonts w:ascii="Times New Roman"/>
          <w:b w:val="false"/>
          <w:i w:val="false"/>
          <w:color w:val="000000"/>
          <w:sz w:val="28"/>
        </w:rPr>
        <w:t>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три месяца.»;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«2. Правила работы игорного заведения, приема ставок и проводимых азартных игр и (или) пари на казахском и русском языках должны быть установлены в игорных заведениях на видном месте для ознакомления с ними участников азартных игр и (или) пари.».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двадцати одного календарного дня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2) абзацев третьего, четвертого, пятнадцатого, шестнадцатого, девятнадцатого, двадцатого, двадцать первого и двадцать второго </w:t>
      </w:r>
      <w:r>
        <w:rPr>
          <w:rFonts w:ascii="Times New Roman"/>
          <w:b w:val="false"/>
          <w:i w:val="false"/>
          <w:color w:val="000000"/>
          <w:sz w:val="28"/>
        </w:rPr>
        <w:t>подпункта 1)</w:t>
      </w:r>
      <w:r>
        <w:rPr>
          <w:rFonts w:ascii="Times New Roman"/>
          <w:b w:val="false"/>
          <w:i w:val="false"/>
          <w:color w:val="000000"/>
          <w:sz w:val="28"/>
        </w:rPr>
        <w:t xml:space="preserve"> пункта 3, абзаца третьего </w:t>
      </w:r>
      <w:r>
        <w:rPr>
          <w:rFonts w:ascii="Times New Roman"/>
          <w:b w:val="false"/>
          <w:i w:val="false"/>
          <w:color w:val="000000"/>
          <w:sz w:val="28"/>
        </w:rPr>
        <w:t>подпункта 5)</w:t>
      </w:r>
      <w:r>
        <w:rPr>
          <w:rFonts w:ascii="Times New Roman"/>
          <w:b w:val="false"/>
          <w:i w:val="false"/>
          <w:color w:val="000000"/>
          <w:sz w:val="28"/>
        </w:rPr>
        <w:t>, абзацев третьего, четвертого, десятого, одиннадцатого и пятнадцатого </w:t>
      </w:r>
      <w:r>
        <w:rPr>
          <w:rFonts w:ascii="Times New Roman"/>
          <w:b w:val="false"/>
          <w:i w:val="false"/>
          <w:color w:val="000000"/>
          <w:sz w:val="28"/>
        </w:rPr>
        <w:t>подпункта 6)</w:t>
      </w:r>
      <w:r>
        <w:rPr>
          <w:rFonts w:ascii="Times New Roman"/>
          <w:b w:val="false"/>
          <w:i w:val="false"/>
          <w:color w:val="000000"/>
          <w:sz w:val="28"/>
        </w:rPr>
        <w:t>, </w:t>
      </w:r>
      <w:r>
        <w:rPr>
          <w:rFonts w:ascii="Times New Roman"/>
          <w:b w:val="false"/>
          <w:i w:val="false"/>
          <w:color w:val="000000"/>
          <w:sz w:val="28"/>
        </w:rPr>
        <w:t>подпункта 7)</w:t>
      </w:r>
      <w:r>
        <w:rPr>
          <w:rFonts w:ascii="Times New Roman"/>
          <w:b w:val="false"/>
          <w:i w:val="false"/>
          <w:color w:val="000000"/>
          <w:sz w:val="28"/>
        </w:rPr>
        <w:t>, абзацев второго, третьего, четвертого, пятого, шестого, девятого и десятого </w:t>
      </w:r>
      <w:r>
        <w:rPr>
          <w:rFonts w:ascii="Times New Roman"/>
          <w:b w:val="false"/>
          <w:i w:val="false"/>
          <w:color w:val="000000"/>
          <w:sz w:val="28"/>
        </w:rPr>
        <w:t>подпункта 8)</w:t>
      </w:r>
      <w:r>
        <w:rPr>
          <w:rFonts w:ascii="Times New Roman"/>
          <w:b w:val="false"/>
          <w:i w:val="false"/>
          <w:color w:val="000000"/>
          <w:sz w:val="28"/>
        </w:rPr>
        <w:t xml:space="preserve"> пункта 5 статьи 1, которые вводятся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абзацев четырнадцатого, пятнадцатого, шестнадцатого и семнадцатого </w:t>
      </w:r>
      <w:r>
        <w:rPr>
          <w:rFonts w:ascii="Times New Roman"/>
          <w:b w:val="false"/>
          <w:i w:val="false"/>
          <w:color w:val="000000"/>
          <w:sz w:val="28"/>
        </w:rPr>
        <w:t>подпункта 8)</w:t>
      </w:r>
      <w:r>
        <w:rPr>
          <w:rFonts w:ascii="Times New Roman"/>
          <w:b w:val="false"/>
          <w:i w:val="false"/>
          <w:color w:val="000000"/>
          <w:sz w:val="28"/>
        </w:rPr>
        <w:t xml:space="preserve"> пункта 5 статьи 1, которые вводятся в действие по истечении одного месяца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Лицензиаты, осуществляющие деятельность в сфере игорного бизнеса, обязаны:</w:t>
      </w:r>
      <w:r>
        <w:br/>
      </w:r>
      <w:r>
        <w:rPr>
          <w:rFonts w:ascii="Times New Roman"/>
          <w:b w:val="false"/>
          <w:i w:val="false"/>
          <w:color w:val="000000"/>
          <w:sz w:val="28"/>
        </w:rPr>
        <w:t>
</w:t>
      </w:r>
      <w:r>
        <w:rPr>
          <w:rFonts w:ascii="Times New Roman"/>
          <w:b w:val="false"/>
          <w:i w:val="false"/>
          <w:color w:val="000000"/>
          <w:sz w:val="28"/>
        </w:rPr>
        <w:t>
      1) в течение одного месяца со дня введения в действие настоящего Закона привести свою деятельность в соответствие с требованиями абзацев четырнадцатого, пятнадцатого, шестнадцатого и семнадцатого </w:t>
      </w:r>
      <w:r>
        <w:rPr>
          <w:rFonts w:ascii="Times New Roman"/>
          <w:b w:val="false"/>
          <w:i w:val="false"/>
          <w:color w:val="000000"/>
          <w:sz w:val="28"/>
        </w:rPr>
        <w:t>подпункта 8)</w:t>
      </w:r>
      <w:r>
        <w:rPr>
          <w:rFonts w:ascii="Times New Roman"/>
          <w:b w:val="false"/>
          <w:i w:val="false"/>
          <w:color w:val="000000"/>
          <w:sz w:val="28"/>
        </w:rPr>
        <w:t xml:space="preserve"> пункта 5 статьи 1 настоящего Закона;</w:t>
      </w:r>
      <w:r>
        <w:br/>
      </w:r>
      <w:r>
        <w:rPr>
          <w:rFonts w:ascii="Times New Roman"/>
          <w:b w:val="false"/>
          <w:i w:val="false"/>
          <w:color w:val="000000"/>
          <w:sz w:val="28"/>
        </w:rPr>
        <w:t>
</w:t>
      </w:r>
      <w:r>
        <w:rPr>
          <w:rFonts w:ascii="Times New Roman"/>
          <w:b w:val="false"/>
          <w:i w:val="false"/>
          <w:color w:val="000000"/>
          <w:sz w:val="28"/>
        </w:rPr>
        <w:t>
      2) в течение шести месяцев со дня введения в действие настоящего Закона привести свою деятельность в соответствие с требованиями абзаца третьего </w:t>
      </w:r>
      <w:r>
        <w:rPr>
          <w:rFonts w:ascii="Times New Roman"/>
          <w:b w:val="false"/>
          <w:i w:val="false"/>
          <w:color w:val="000000"/>
          <w:sz w:val="28"/>
        </w:rPr>
        <w:t>подпункта 5)</w:t>
      </w:r>
      <w:r>
        <w:rPr>
          <w:rFonts w:ascii="Times New Roman"/>
          <w:b w:val="false"/>
          <w:i w:val="false"/>
          <w:color w:val="000000"/>
          <w:sz w:val="28"/>
        </w:rPr>
        <w:t>, абзацев третьего, четвертого, десятого, одиннадцатого и пятнадцатого </w:t>
      </w:r>
      <w:r>
        <w:rPr>
          <w:rFonts w:ascii="Times New Roman"/>
          <w:b w:val="false"/>
          <w:i w:val="false"/>
          <w:color w:val="000000"/>
          <w:sz w:val="28"/>
        </w:rPr>
        <w:t>подпункта 6)</w:t>
      </w:r>
      <w:r>
        <w:rPr>
          <w:rFonts w:ascii="Times New Roman"/>
          <w:b w:val="false"/>
          <w:i w:val="false"/>
          <w:color w:val="000000"/>
          <w:sz w:val="28"/>
        </w:rPr>
        <w:t>, </w:t>
      </w:r>
      <w:r>
        <w:rPr>
          <w:rFonts w:ascii="Times New Roman"/>
          <w:b w:val="false"/>
          <w:i w:val="false"/>
          <w:color w:val="000000"/>
          <w:sz w:val="28"/>
        </w:rPr>
        <w:t>подпункта 7)</w:t>
      </w:r>
      <w:r>
        <w:rPr>
          <w:rFonts w:ascii="Times New Roman"/>
          <w:b w:val="false"/>
          <w:i w:val="false"/>
          <w:color w:val="000000"/>
          <w:sz w:val="28"/>
        </w:rPr>
        <w:t>, абзацев второго, третьего, четвертого, пятого, шестого, девятого и десятого </w:t>
      </w:r>
      <w:r>
        <w:rPr>
          <w:rFonts w:ascii="Times New Roman"/>
          <w:b w:val="false"/>
          <w:i w:val="false"/>
          <w:color w:val="000000"/>
          <w:sz w:val="28"/>
        </w:rPr>
        <w:t>подпункта 8)</w:t>
      </w:r>
      <w:r>
        <w:rPr>
          <w:rFonts w:ascii="Times New Roman"/>
          <w:b w:val="false"/>
          <w:i w:val="false"/>
          <w:color w:val="000000"/>
          <w:sz w:val="28"/>
        </w:rPr>
        <w:t xml:space="preserve"> пункта 5 статьи 1 настоящего Закона.</w:t>
      </w:r>
    </w:p>
    <w:bookmarkEnd w:id="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