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cd1" w14:textId="c855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
в Договор о Комиссии Таможенного союза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2011 года № 489-IV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Договор о Комиссии Таможенного союза от 6 октября 2007 года, совершенный в Москве 9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Договор о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6 октября 2007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 (далее -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6 Договора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обеспечения эффективного функционирования Таможенного союза и его органов Комиссия вправе создавать координационные и консультативные органы для рассмотрения предложений и согласования позиций государств-членов Таможенного союза по отдельным вопросам, а также для подготовки соответствующих рекомендаций для Комиссии.".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статью 8 Договора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решения.".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любая из Сторон вправе передать спор на рассмотрение в Суд Евразийского экономического сообщества.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временно применяется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 За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 Республику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 Казахстан        Федерацию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Решения Межгосударственного Совета ЕврАзЭС (Высшего органа Таможенного союза) № 68, подписанного 9 декабря 2010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Президентом Республики Беларусь А.Г. Лукашенко,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Президентом Республики Казахстан Н.А. Назарбаевым,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Президентом Российской Федерации Д.А. Медведевым.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листа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Таможенного союза                          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