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519e" w14:textId="efd5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особенностях использования транспортных средств международной перевозки, осуществляющих перевозку пассажиров, а также прицепов, полуприцепов, контейнеров и железнодорожного подвижного состава, осуществляющих перевозку грузов и (или) багажа для внутренней перевозки по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324-IV.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особенностях использования транспортных средств международной перевозки, осуществляющих перевозку пассажиров, а также прицепов, полуприцепов, контейнеров и железнодорожного подвижного состава, осуществляющих перевозку грузов и (или) багажа для внутренней перевозки по таможенной территории таможенного союза, совершенное в Санкт-Петербурге 18 июня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особенностях использования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международной перевозки, осуществляющих перевозку пассажиров, а</w:t>
      </w:r>
      <w:r>
        <w:br/>
      </w:r>
      <w:r>
        <w:rPr>
          <w:rFonts w:ascii="Times New Roman"/>
          <w:b/>
          <w:i w:val="false"/>
          <w:color w:val="000000"/>
        </w:rPr>
        <w:t>также прицепов, полуприцепов, контейнеров и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подвижного состава, осуществляющих перевозку грузов и (или)</w:t>
      </w:r>
      <w:r>
        <w:br/>
      </w:r>
      <w:r>
        <w:rPr>
          <w:rFonts w:ascii="Times New Roman"/>
          <w:b/>
          <w:i w:val="false"/>
          <w:color w:val="000000"/>
        </w:rPr>
        <w:t>багажа для внутренней перевозки по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