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8da" w14:textId="0727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323-IV.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и об обмене предварительной информацией о</w:t>
      </w:r>
      <w:r>
        <w:br/>
      </w:r>
      <w:r>
        <w:rPr>
          <w:rFonts w:ascii="Times New Roman"/>
          <w:b/>
          <w:i w:val="false"/>
          <w:color w:val="000000"/>
        </w:rPr>
        <w:t>товарах и транспортных средствах, перемещаемых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границу таможенного союза (Вступило в силу 24 января 2011 года - Бюллетень международных договоров 2012 г., № 4, ст. 42)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