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563a" w14:textId="af25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едином таможенном реестре объектов интеллектуальной собственности государств-членов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2010 года № 322-IV.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едином таможенном реестре объектов интеллектуальной собственности государств-членов таможенного союза, совершенное в Санкт-Петербурге 21 мая 2010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едином таможенном реестре</w:t>
      </w:r>
      <w:r>
        <w:br/>
      </w:r>
      <w:r>
        <w:rPr>
          <w:rFonts w:ascii="Times New Roman"/>
          <w:b/>
          <w:i w:val="false"/>
          <w:color w:val="000000"/>
        </w:rPr>
        <w:t>объектов интеллектуальной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государств-членов таможенного союза (Вступило в силу 3 июня 2012 года - Бюллетень международных договоров 2012 г., № 4, ст. 46)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Соглашение прекратило действие в связи с вступлением в силу Договора о Таможенном кодексе Евразийского экономического союза, ратифицированного Законом РК от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