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7ea93" w14:textId="5a7ea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требованиях к обмену информацией между таможенными органами и иными государственными органами государств-членов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30 июня 2010 года № 313-IV.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о требованиях к обмену информацией между таможенными органами и иными государственными органами государств-членов таможенного союза, совершенное в Санкт-Петербурге 21 мая 2010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 требованиях к обмену информацией между таможенными органами и</w:t>
      </w:r>
      <w:r>
        <w:br/>
      </w:r>
      <w:r>
        <w:rPr>
          <w:rFonts w:ascii="Times New Roman"/>
          <w:b/>
          <w:i w:val="false"/>
          <w:color w:val="000000"/>
        </w:rPr>
        <w:t>иными государственными органами государств-членов таможенного</w:t>
      </w:r>
      <w:r>
        <w:br/>
      </w:r>
      <w:r>
        <w:rPr>
          <w:rFonts w:ascii="Times New Roman"/>
          <w:b/>
          <w:i w:val="false"/>
          <w:color w:val="000000"/>
        </w:rPr>
        <w:t>союза (Вступило в силу 24 января 2011 года - Бюллетень международных договоров 2012 г., № 4, ст. 41)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Соглашение прекратило действие в связи с вступлением в силу Договора о Таможенном кодексе Евразийского экономического союза, ратифицированного Законом РК от 13.12.2017 </w:t>
      </w:r>
      <w:r>
        <w:rPr>
          <w:rFonts w:ascii="Times New Roman"/>
          <w:b w:val="false"/>
          <w:i w:val="false"/>
          <w:color w:val="ff0000"/>
          <w:sz w:val="28"/>
        </w:rPr>
        <w:t>№ 115-VI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