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ea93" w14:textId="5a7e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требованиях к обмену информацией между таможенными органами и иными государственными органами государств-членов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313-IV.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требованиях к обмену информацией между таможенными органами и иными государственными органами государств-членов таможенного союза, совершенное в Санкт-Петербурге 21 мая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требованиях к обмену информацией между таможенными органами и</w:t>
      </w:r>
      <w:r>
        <w:br/>
      </w:r>
      <w:r>
        <w:rPr>
          <w:rFonts w:ascii="Times New Roman"/>
          <w:b/>
          <w:i w:val="false"/>
          <w:color w:val="000000"/>
        </w:rPr>
        <w:t>иными государственными органами государств-членов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(Вступило в силу 24 января 2011 года - Бюллетень международных договоров 2012 г., № 4, ст. 41)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