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539a" w14:textId="d8b5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7 июля 2009 года № 170-IV</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Ратифицировать Соглашение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 подписанное в Астане 30 марта 2009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Н. Назарбаев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[Перевод с английского]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НОМЕР ЗАЙМА 2503-KAZ </w:t>
      </w:r>
    </w:p>
    <w:p>
      <w:pPr>
        <w:spacing w:after="0"/>
        <w:ind w:left="0"/>
        <w:jc w:val="both"/>
      </w:pPr>
      <w:r>
        <w:rPr>
          <w:rFonts w:ascii="Times New Roman"/>
          <w:b w:val="false"/>
          <w:i w:val="false"/>
          <w:color w:val="000000"/>
          <w:sz w:val="28"/>
        </w:rPr>
        <w:t xml:space="preserve">СОГЛАШЕНИЕ О ЗАЙМЕ </w:t>
      </w:r>
      <w:r>
        <w:br/>
      </w:r>
      <w:r>
        <w:rPr>
          <w:rFonts w:ascii="Times New Roman"/>
          <w:b w:val="false"/>
          <w:i w:val="false"/>
          <w:color w:val="000000"/>
          <w:sz w:val="28"/>
        </w:rPr>
        <w:t>
</w:t>
      </w:r>
      <w:r>
        <w:rPr>
          <w:rFonts w:ascii="Times New Roman"/>
          <w:b w:val="false"/>
          <w:i w:val="false"/>
          <w:color w:val="000000"/>
          <w:sz w:val="28"/>
        </w:rPr>
        <w:t xml:space="preserve">(Обычные операции) </w:t>
      </w:r>
    </w:p>
    <w:p>
      <w:pPr>
        <w:spacing w:after="0"/>
        <w:ind w:left="0"/>
        <w:jc w:val="both"/>
      </w:pPr>
      <w:r>
        <w:rPr>
          <w:rFonts w:ascii="Times New Roman"/>
          <w:b w:val="false"/>
          <w:i w:val="false"/>
          <w:color w:val="000000"/>
          <w:sz w:val="28"/>
        </w:rPr>
        <w:t xml:space="preserve">(Транспортный коридор ЦАРЭС 1 [Участки в Жамбылской области] </w:t>
      </w:r>
      <w:r>
        <w:br/>
      </w:r>
      <w:r>
        <w:rPr>
          <w:rFonts w:ascii="Times New Roman"/>
          <w:b w:val="false"/>
          <w:i w:val="false"/>
          <w:color w:val="000000"/>
          <w:sz w:val="28"/>
        </w:rPr>
        <w:t xml:space="preserve">
(Международный транзитный коридор Западная Европа - Западный Китай) </w:t>
      </w:r>
      <w:r>
        <w:br/>
      </w:r>
      <w:r>
        <w:rPr>
          <w:rFonts w:ascii="Times New Roman"/>
          <w:b w:val="false"/>
          <w:i w:val="false"/>
          <w:color w:val="000000"/>
          <w:sz w:val="28"/>
        </w:rPr>
        <w:t xml:space="preserve">
Инвестиционная Программа - Проект 1) </w:t>
      </w:r>
      <w:r>
        <w:br/>
      </w:r>
      <w:r>
        <w:rPr>
          <w:rFonts w:ascii="Times New Roman"/>
          <w:b w:val="false"/>
          <w:i w:val="false"/>
          <w:color w:val="000000"/>
          <w:sz w:val="28"/>
        </w:rPr>
        <w:t xml:space="preserve">
между </w:t>
      </w:r>
      <w:r>
        <w:br/>
      </w:r>
      <w:r>
        <w:rPr>
          <w:rFonts w:ascii="Times New Roman"/>
          <w:b w:val="false"/>
          <w:i w:val="false"/>
          <w:color w:val="000000"/>
          <w:sz w:val="28"/>
        </w:rPr>
        <w:t xml:space="preserve">
РЕСПУБЛИКОЙ КАЗАХСТАН </w:t>
      </w:r>
      <w:r>
        <w:br/>
      </w:r>
      <w:r>
        <w:rPr>
          <w:rFonts w:ascii="Times New Roman"/>
          <w:b w:val="false"/>
          <w:i w:val="false"/>
          <w:color w:val="000000"/>
          <w:sz w:val="28"/>
        </w:rPr>
        <w:t xml:space="preserve">
и </w:t>
      </w:r>
      <w:r>
        <w:br/>
      </w:r>
      <w:r>
        <w:rPr>
          <w:rFonts w:ascii="Times New Roman"/>
          <w:b w:val="false"/>
          <w:i w:val="false"/>
          <w:color w:val="000000"/>
          <w:sz w:val="28"/>
        </w:rPr>
        <w:t xml:space="preserve">
АЗИАТСКИМ БАНКОМ РАЗВИТИЯ </w:t>
      </w:r>
    </w:p>
    <w:p>
      <w:pPr>
        <w:spacing w:after="0"/>
        <w:ind w:left="0"/>
        <w:jc w:val="both"/>
      </w:pPr>
      <w:r>
        <w:rPr>
          <w:rFonts w:ascii="Times New Roman"/>
          <w:b w:val="false"/>
          <w:i w:val="false"/>
          <w:color w:val="000000"/>
          <w:sz w:val="28"/>
        </w:rPr>
        <w:t xml:space="preserve">ДАТА_________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LAL:KAZ_____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СОГЛАШЕНИЕ О ЗАЙМЕ </w:t>
      </w:r>
      <w:r>
        <w:br/>
      </w:r>
      <w:r>
        <w:rPr>
          <w:rFonts w:ascii="Times New Roman"/>
          <w:b w:val="false"/>
          <w:i w:val="false"/>
          <w:color w:val="000000"/>
          <w:sz w:val="28"/>
        </w:rPr>
        <w:t>
</w:t>
      </w:r>
      <w:r>
        <w:rPr>
          <w:rFonts w:ascii="Times New Roman"/>
          <w:b/>
          <w:i w:val="false"/>
          <w:color w:val="000080"/>
          <w:sz w:val="28"/>
        </w:rPr>
        <w:t xml:space="preserve">(Обычные 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СОГЛАШЕНИЕ О ЗАЙМЕ от _________ между РЕСПУБЛИКОЙ КАЗАХСТАН (именуемой в дальнейшем Заемщик) и АЗИАТСКИМ БАНКОМ РАЗВИТИЯ (именуемым в дальнейшем АБР).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ПРИНИМАЯ ВО ВНИМАНИЕ НИЖЕСЛЕДУЮЩЕЕ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(A) согласно рамочному соглашению о финансировании от _______, заключенному между Заемщиком и АБР, АБР обязуется предоставить механизм многотраншевого финансирования (ММФ) в соответствии с нижеследующими условиями, Заемщику для финансирования проектов в рамках Инвестиционной Программы; </w:t>
      </w:r>
      <w:r>
        <w:br/>
      </w:r>
      <w:r>
        <w:rPr>
          <w:rFonts w:ascii="Times New Roman"/>
          <w:b w:val="false"/>
          <w:i w:val="false"/>
          <w:color w:val="000000"/>
          <w:sz w:val="28"/>
        </w:rPr>
        <w:t>
</w:t>
      </w:r>
      <w:r>
        <w:rPr>
          <w:rFonts w:ascii="Times New Roman"/>
          <w:b w:val="false"/>
          <w:i w:val="false"/>
          <w:color w:val="000000"/>
          <w:sz w:val="28"/>
        </w:rPr>
        <w:t xml:space="preserve">
      (B) посредством предоставления периодического запроса о финансировании от ______ Заемщик обратился к АБР о выделении займа для целей Проекта, описанного в Приложении 1 настоящего Соглашения о займе; а также </w:t>
      </w:r>
      <w:r>
        <w:br/>
      </w:r>
      <w:r>
        <w:rPr>
          <w:rFonts w:ascii="Times New Roman"/>
          <w:b w:val="false"/>
          <w:i w:val="false"/>
          <w:color w:val="000000"/>
          <w:sz w:val="28"/>
        </w:rPr>
        <w:t>
</w:t>
      </w:r>
      <w:r>
        <w:rPr>
          <w:rFonts w:ascii="Times New Roman"/>
          <w:b w:val="false"/>
          <w:i w:val="false"/>
          <w:color w:val="000000"/>
          <w:sz w:val="28"/>
        </w:rPr>
        <w:t xml:space="preserve">
      (C) АБР выразил согласие на предоставление Заемщику займа из обычных капитальных ресурсов АБР на установленных ниже условиях и основаниях; </w:t>
      </w:r>
      <w:r>
        <w:br/>
      </w:r>
      <w:r>
        <w:rPr>
          <w:rFonts w:ascii="Times New Roman"/>
          <w:b w:val="false"/>
          <w:i w:val="false"/>
          <w:color w:val="000000"/>
          <w:sz w:val="28"/>
        </w:rPr>
        <w:t>
</w:t>
      </w:r>
      <w:r>
        <w:rPr>
          <w:rFonts w:ascii="Times New Roman"/>
          <w:b w:val="false"/>
          <w:i w:val="false"/>
          <w:color w:val="000000"/>
          <w:sz w:val="28"/>
        </w:rPr>
        <w:t xml:space="preserve">
      С УЧЕТОМ ВЫШЕИЗЛОЖЕННОГО, стороны настоящего соглашения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I </w:t>
      </w:r>
    </w:p>
    <w:p>
      <w:pPr>
        <w:spacing w:after="0"/>
        <w:ind w:left="0"/>
        <w:jc w:val="both"/>
      </w:pPr>
      <w:r>
        <w:rPr>
          <w:rFonts w:ascii="Times New Roman"/>
          <w:b/>
          <w:i w:val="false"/>
          <w:color w:val="000080"/>
          <w:sz w:val="28"/>
        </w:rPr>
        <w:t xml:space="preserve">Правила предоставления займа; Определения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Раздел 1.01. Все положения предоставления займа для обычных операций, применимые к займам по Лондонской межбанковской ставке, выделяющимся из Обычных основных ресурсов АБР от 1 июля 2001 года, настоящим считаются применимыми к данному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в дальнейшем именуются Правила предоставления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 Раздел 3.03 удален и заменен нижеследующим: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Комиссия за резервирование; Кредит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(аа)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 </w:t>
      </w:r>
      <w:r>
        <w:br/>
      </w:r>
      <w:r>
        <w:rPr>
          <w:rFonts w:ascii="Times New Roman"/>
          <w:b w:val="false"/>
          <w:i w:val="false"/>
          <w:color w:val="000000"/>
          <w:sz w:val="28"/>
        </w:rPr>
        <w:t>
</w:t>
      </w:r>
      <w:r>
        <w:rPr>
          <w:rFonts w:ascii="Times New Roman"/>
          <w:b w:val="false"/>
          <w:i w:val="false"/>
          <w:color w:val="000000"/>
          <w:sz w:val="28"/>
        </w:rPr>
        <w:t xml:space="preserve">
      (bb) АБР обязуется предоставить Заемщику кредит по ставкам, обусловленным данным Соглашением о займе, причем такой кредит не подлежит изменениям до конца срока займа. АБР обязуется применять сумму данного кредита по отношению к процентам, подлежащих оплате Заемщиком.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(b) Раздел 3.06 удален и заменен нижеследующим: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(аа)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момента вступления в силу сниженного фиксированного спреда, применимого к новым займам. </w:t>
      </w:r>
      <w:r>
        <w:br/>
      </w:r>
      <w:r>
        <w:rPr>
          <w:rFonts w:ascii="Times New Roman"/>
          <w:b w:val="false"/>
          <w:i w:val="false"/>
          <w:color w:val="000000"/>
          <w:sz w:val="28"/>
        </w:rPr>
        <w:t>
</w:t>
      </w:r>
      <w:r>
        <w:rPr>
          <w:rFonts w:ascii="Times New Roman"/>
          <w:b w:val="false"/>
          <w:i w:val="false"/>
          <w:color w:val="000000"/>
          <w:sz w:val="28"/>
        </w:rPr>
        <w:t xml:space="preserve">
      (bb) После каждого уведомления АБР о том, что его расчеты затрат на консолидирование долга в отношении валюты займа (или утвержденной валюты) в любом полугодии привели к экономии средств, АБР обязуется предоставить возмещение Заемщику. Сумма возмещения будет определена путем умножения (i) затрат на консолидирование долга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в котором были рассчитаны затраты на консолидирование долга. АБР обязуется вычесть сумму возмещения из процентов, подлежащих к оплате Заемщиком в течение процентного периода, начинающегося после полугодия, в котором были рассчитаны затраты на консолидирование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(c) Раздел 3.07 удален и заменен нижеследующим: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(аа)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момента вступления в силу повышенного фиксированного спреда, применимого к новым займам. </w:t>
      </w:r>
      <w:r>
        <w:br/>
      </w:r>
      <w:r>
        <w:rPr>
          <w:rFonts w:ascii="Times New Roman"/>
          <w:b w:val="false"/>
          <w:i w:val="false"/>
          <w:color w:val="000000"/>
          <w:sz w:val="28"/>
        </w:rPr>
        <w:t>
</w:t>
      </w:r>
      <w:r>
        <w:rPr>
          <w:rFonts w:ascii="Times New Roman"/>
          <w:b w:val="false"/>
          <w:i w:val="false"/>
          <w:color w:val="000000"/>
          <w:sz w:val="28"/>
        </w:rPr>
        <w:t xml:space="preserve">
      (bb) После каждого уведомления АБР о том, что его затраты на консолидирование долга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взвешенных затрат на консолидирование долга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после полугодия, в котором были рассчитаны расходы на консолидирование долга. АБР обязуется прибавить сумму дополнительной оплаты к процентам, подлежащим к оплате Заемщиком в течение процентного периода, начинающегося после полугодия, в котором были рассчитаны расходы на консолидирование долга. </w:t>
      </w:r>
      <w:r>
        <w:br/>
      </w:r>
      <w:r>
        <w:rPr>
          <w:rFonts w:ascii="Times New Roman"/>
          <w:b w:val="false"/>
          <w:i w:val="false"/>
          <w:color w:val="000000"/>
          <w:sz w:val="28"/>
        </w:rPr>
        <w:t>
</w:t>
      </w:r>
      <w:r>
        <w:rPr>
          <w:rFonts w:ascii="Times New Roman"/>
          <w:b w:val="false"/>
          <w:i w:val="false"/>
          <w:color w:val="000000"/>
          <w:sz w:val="28"/>
        </w:rPr>
        <w:t xml:space="preserve">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а также несколько дополнительных терминов имеют нижеследующие определения: </w:t>
      </w:r>
      <w:r>
        <w:br/>
      </w:r>
      <w:r>
        <w:rPr>
          <w:rFonts w:ascii="Times New Roman"/>
          <w:b w:val="false"/>
          <w:i w:val="false"/>
          <w:color w:val="000000"/>
          <w:sz w:val="28"/>
        </w:rPr>
        <w:t>
</w:t>
      </w:r>
      <w:r>
        <w:rPr>
          <w:rFonts w:ascii="Times New Roman"/>
          <w:b w:val="false"/>
          <w:i w:val="false"/>
          <w:color w:val="000000"/>
          <w:sz w:val="28"/>
        </w:rPr>
        <w:t xml:space="preserve">
      (a) "Транспортный коридор ЦАРЭС 1" - сегмент международного транзитного коридора Западная Европа - Западный Китай от Хоргоса на границе с Китайской Народной Республикой (КНР) через Алматы и Шымкент до западной границы с Российской Федерацией; </w:t>
      </w:r>
      <w:r>
        <w:br/>
      </w:r>
      <w:r>
        <w:rPr>
          <w:rFonts w:ascii="Times New Roman"/>
          <w:b w:val="false"/>
          <w:i w:val="false"/>
          <w:color w:val="000000"/>
          <w:sz w:val="28"/>
        </w:rPr>
        <w:t>
</w:t>
      </w:r>
      <w:r>
        <w:rPr>
          <w:rFonts w:ascii="Times New Roman"/>
          <w:b w:val="false"/>
          <w:i w:val="false"/>
          <w:color w:val="000000"/>
          <w:sz w:val="28"/>
        </w:rPr>
        <w:t xml:space="preserve">
      (b) "EOBOC" единая оценка воздействия на окружающую среду, подготовленная для Инвестиционной программы, осуществленная Заемщиком и согласованная с АБР; </w:t>
      </w:r>
      <w:r>
        <w:br/>
      </w:r>
      <w:r>
        <w:rPr>
          <w:rFonts w:ascii="Times New Roman"/>
          <w:b w:val="false"/>
          <w:i w:val="false"/>
          <w:color w:val="000000"/>
          <w:sz w:val="28"/>
        </w:rPr>
        <w:t>
</w:t>
      </w:r>
      <w:r>
        <w:rPr>
          <w:rFonts w:ascii="Times New Roman"/>
          <w:b w:val="false"/>
          <w:i w:val="false"/>
          <w:color w:val="000000"/>
          <w:sz w:val="28"/>
        </w:rPr>
        <w:t xml:space="preserve">
      (c) "Руководство по привлечению консалтинговых услуг"  - Руководство АБР по привлечению услуг консультантов Азиатским Банком Развития и его Заемщиками (2007, с периодическими поправками); </w:t>
      </w:r>
      <w:r>
        <w:br/>
      </w:r>
      <w:r>
        <w:rPr>
          <w:rFonts w:ascii="Times New Roman"/>
          <w:b w:val="false"/>
          <w:i w:val="false"/>
          <w:color w:val="000000"/>
          <w:sz w:val="28"/>
        </w:rPr>
        <w:t>
</w:t>
      </w:r>
      <w:r>
        <w:rPr>
          <w:rFonts w:ascii="Times New Roman"/>
          <w:b w:val="false"/>
          <w:i w:val="false"/>
          <w:color w:val="000000"/>
          <w:sz w:val="28"/>
        </w:rPr>
        <w:t xml:space="preserve">
      (d) "КАД" - Комитет автомобильных дорог МТК Заемщика и его правопреемник; </w:t>
      </w:r>
      <w:r>
        <w:br/>
      </w:r>
      <w:r>
        <w:rPr>
          <w:rFonts w:ascii="Times New Roman"/>
          <w:b w:val="false"/>
          <w:i w:val="false"/>
          <w:color w:val="000000"/>
          <w:sz w:val="28"/>
        </w:rPr>
        <w:t>
</w:t>
      </w:r>
      <w:r>
        <w:rPr>
          <w:rFonts w:ascii="Times New Roman"/>
          <w:b w:val="false"/>
          <w:i w:val="false"/>
          <w:color w:val="000000"/>
          <w:sz w:val="28"/>
        </w:rPr>
        <w:t xml:space="preserve">
      (e) "ООВОС" означает Основы оценки воздействия на окружающую среду, согласованные между Заемщиком и АБР и включенные посредством ссылки в Приложении 5 к РСФ; </w:t>
      </w:r>
      <w:r>
        <w:br/>
      </w:r>
      <w:r>
        <w:rPr>
          <w:rFonts w:ascii="Times New Roman"/>
          <w:b w:val="false"/>
          <w:i w:val="false"/>
          <w:color w:val="000000"/>
          <w:sz w:val="28"/>
        </w:rPr>
        <w:t>
</w:t>
      </w:r>
      <w:r>
        <w:rPr>
          <w:rFonts w:ascii="Times New Roman"/>
          <w:b w:val="false"/>
          <w:i w:val="false"/>
          <w:color w:val="000000"/>
          <w:sz w:val="28"/>
        </w:rPr>
        <w:t xml:space="preserve">
      (f) "ПООС" - План охраны окружающей среды, включенный в Предварительную оценку воздействия на окружающую среду (ПОВОС); </w:t>
      </w:r>
      <w:r>
        <w:br/>
      </w:r>
      <w:r>
        <w:rPr>
          <w:rFonts w:ascii="Times New Roman"/>
          <w:b w:val="false"/>
          <w:i w:val="false"/>
          <w:color w:val="000000"/>
          <w:sz w:val="28"/>
        </w:rPr>
        <w:t>
</w:t>
      </w:r>
      <w:r>
        <w:rPr>
          <w:rFonts w:ascii="Times New Roman"/>
          <w:b w:val="false"/>
          <w:i w:val="false"/>
          <w:color w:val="000000"/>
          <w:sz w:val="28"/>
        </w:rPr>
        <w:t xml:space="preserve">
      (g) "ПОВОС" - Предварительная оценка воздействия на окружающую среду, подготовленное для Проекта Заемщиком и одобренное АБР; </w:t>
      </w:r>
      <w:r>
        <w:br/>
      </w:r>
      <w:r>
        <w:rPr>
          <w:rFonts w:ascii="Times New Roman"/>
          <w:b w:val="false"/>
          <w:i w:val="false"/>
          <w:color w:val="000000"/>
          <w:sz w:val="28"/>
        </w:rPr>
        <w:t>
</w:t>
      </w:r>
      <w:r>
        <w:rPr>
          <w:rFonts w:ascii="Times New Roman"/>
          <w:b w:val="false"/>
          <w:i w:val="false"/>
          <w:color w:val="000000"/>
          <w:sz w:val="28"/>
        </w:rPr>
        <w:t xml:space="preserve">
      (h) "ММФ" - многотраншевый механизм финансирования, предоставленный АБР Заемщику на финансирование проектов в рамках Инвестиционной Программы; </w:t>
      </w:r>
      <w:r>
        <w:br/>
      </w:r>
      <w:r>
        <w:rPr>
          <w:rFonts w:ascii="Times New Roman"/>
          <w:b w:val="false"/>
          <w:i w:val="false"/>
          <w:color w:val="000000"/>
          <w:sz w:val="28"/>
        </w:rPr>
        <w:t>
</w:t>
      </w:r>
      <w:r>
        <w:rPr>
          <w:rFonts w:ascii="Times New Roman"/>
          <w:b w:val="false"/>
          <w:i w:val="false"/>
          <w:color w:val="000000"/>
          <w:sz w:val="28"/>
        </w:rPr>
        <w:t xml:space="preserve">
      (i) "РСФ" - рамочное соглашение о финансировании от _______, заключенное между АБР и Заемщиком в отношении ММФ; </w:t>
      </w:r>
      <w:r>
        <w:br/>
      </w:r>
      <w:r>
        <w:rPr>
          <w:rFonts w:ascii="Times New Roman"/>
          <w:b w:val="false"/>
          <w:i w:val="false"/>
          <w:color w:val="000000"/>
          <w:sz w:val="28"/>
        </w:rPr>
        <w:t>
</w:t>
      </w:r>
      <w:r>
        <w:rPr>
          <w:rFonts w:ascii="Times New Roman"/>
          <w:b w:val="false"/>
          <w:i w:val="false"/>
          <w:color w:val="000000"/>
          <w:sz w:val="28"/>
        </w:rPr>
        <w:t xml:space="preserve">
      (j) "ВИЧ/СПИД" - вирус иммунодефицита человека/синдром приобретенного иммунодефицита; </w:t>
      </w:r>
      <w:r>
        <w:br/>
      </w:r>
      <w:r>
        <w:rPr>
          <w:rFonts w:ascii="Times New Roman"/>
          <w:b w:val="false"/>
          <w:i w:val="false"/>
          <w:color w:val="000000"/>
          <w:sz w:val="28"/>
        </w:rPr>
        <w:t>
</w:t>
      </w:r>
      <w:r>
        <w:rPr>
          <w:rFonts w:ascii="Times New Roman"/>
          <w:b w:val="false"/>
          <w:i w:val="false"/>
          <w:color w:val="000000"/>
          <w:sz w:val="28"/>
        </w:rPr>
        <w:t xml:space="preserve">
      (к) "МФИ" - международные финансовые институты; </w:t>
      </w:r>
      <w:r>
        <w:br/>
      </w:r>
      <w:r>
        <w:rPr>
          <w:rFonts w:ascii="Times New Roman"/>
          <w:b w:val="false"/>
          <w:i w:val="false"/>
          <w:color w:val="000000"/>
          <w:sz w:val="28"/>
        </w:rPr>
        <w:t>
</w:t>
      </w:r>
      <w:r>
        <w:rPr>
          <w:rFonts w:ascii="Times New Roman"/>
          <w:b w:val="false"/>
          <w:i w:val="false"/>
          <w:color w:val="000000"/>
          <w:sz w:val="28"/>
        </w:rPr>
        <w:t xml:space="preserve">
      (l) "Инвестиционная Программа" - Программа инвестиций Заемщика для участка Тараз - Кордай Транспортного коридора ЦАРЭС 1 согласно Приложению 1 РСФ; </w:t>
      </w:r>
      <w:r>
        <w:br/>
      </w:r>
      <w:r>
        <w:rPr>
          <w:rFonts w:ascii="Times New Roman"/>
          <w:b w:val="false"/>
          <w:i w:val="false"/>
          <w:color w:val="000000"/>
          <w:sz w:val="28"/>
        </w:rPr>
        <w:t>
</w:t>
      </w:r>
      <w:r>
        <w:rPr>
          <w:rFonts w:ascii="Times New Roman"/>
          <w:b w:val="false"/>
          <w:i w:val="false"/>
          <w:color w:val="000000"/>
          <w:sz w:val="28"/>
        </w:rPr>
        <w:t xml:space="preserve">
      (m) "ОВЗП" - Основы выкупа земель и переселения, согласованные между Заемщиком и АБР и включенные посредством ссылки в Приложении 5 РСФ; </w:t>
      </w:r>
      <w:r>
        <w:br/>
      </w:r>
      <w:r>
        <w:rPr>
          <w:rFonts w:ascii="Times New Roman"/>
          <w:b w:val="false"/>
          <w:i w:val="false"/>
          <w:color w:val="000000"/>
          <w:sz w:val="28"/>
        </w:rPr>
        <w:t>
</w:t>
      </w:r>
      <w:r>
        <w:rPr>
          <w:rFonts w:ascii="Times New Roman"/>
          <w:b w:val="false"/>
          <w:i w:val="false"/>
          <w:color w:val="000000"/>
          <w:sz w:val="28"/>
        </w:rPr>
        <w:t xml:space="preserve">
      (n) "ПВЗП" - План выкупа земель и переселения в рамках проекта; </w:t>
      </w:r>
      <w:r>
        <w:br/>
      </w:r>
      <w:r>
        <w:rPr>
          <w:rFonts w:ascii="Times New Roman"/>
          <w:b w:val="false"/>
          <w:i w:val="false"/>
          <w:color w:val="000000"/>
          <w:sz w:val="28"/>
        </w:rPr>
        <w:t>
</w:t>
      </w:r>
      <w:r>
        <w:rPr>
          <w:rFonts w:ascii="Times New Roman"/>
          <w:b w:val="false"/>
          <w:i w:val="false"/>
          <w:color w:val="000000"/>
          <w:sz w:val="28"/>
        </w:rPr>
        <w:t xml:space="preserve">
      (о) "Руководство по выплате займа" - Руководство АБР по выплате займа (2007 с периодическими поправками); </w:t>
      </w:r>
      <w:r>
        <w:br/>
      </w:r>
      <w:r>
        <w:rPr>
          <w:rFonts w:ascii="Times New Roman"/>
          <w:b w:val="false"/>
          <w:i w:val="false"/>
          <w:color w:val="000000"/>
          <w:sz w:val="28"/>
        </w:rPr>
        <w:t>
</w:t>
      </w:r>
      <w:r>
        <w:rPr>
          <w:rFonts w:ascii="Times New Roman"/>
          <w:b w:val="false"/>
          <w:i w:val="false"/>
          <w:color w:val="000000"/>
          <w:sz w:val="28"/>
        </w:rPr>
        <w:t xml:space="preserve">
      (р) "МФ" - Министерство Финансов Заемщика и его правопреемники; </w:t>
      </w:r>
      <w:r>
        <w:br/>
      </w:r>
      <w:r>
        <w:rPr>
          <w:rFonts w:ascii="Times New Roman"/>
          <w:b w:val="false"/>
          <w:i w:val="false"/>
          <w:color w:val="000000"/>
          <w:sz w:val="28"/>
        </w:rPr>
        <w:t>
</w:t>
      </w:r>
      <w:r>
        <w:rPr>
          <w:rFonts w:ascii="Times New Roman"/>
          <w:b w:val="false"/>
          <w:i w:val="false"/>
          <w:color w:val="000000"/>
          <w:sz w:val="28"/>
        </w:rPr>
        <w:t xml:space="preserve">
      (q) "МТК" - Министерство транспорта и коммуникаций Заемщика; </w:t>
      </w:r>
      <w:r>
        <w:br/>
      </w:r>
      <w:r>
        <w:rPr>
          <w:rFonts w:ascii="Times New Roman"/>
          <w:b w:val="false"/>
          <w:i w:val="false"/>
          <w:color w:val="000000"/>
          <w:sz w:val="28"/>
        </w:rPr>
        <w:t>
</w:t>
      </w:r>
      <w:r>
        <w:rPr>
          <w:rFonts w:ascii="Times New Roman"/>
          <w:b w:val="false"/>
          <w:i w:val="false"/>
          <w:color w:val="000000"/>
          <w:sz w:val="28"/>
        </w:rPr>
        <w:t xml:space="preserve">
      (r) "НПО" - неправительственная организация; </w:t>
      </w:r>
      <w:r>
        <w:br/>
      </w:r>
      <w:r>
        <w:rPr>
          <w:rFonts w:ascii="Times New Roman"/>
          <w:b w:val="false"/>
          <w:i w:val="false"/>
          <w:color w:val="000000"/>
          <w:sz w:val="28"/>
        </w:rPr>
        <w:t>
</w:t>
      </w:r>
      <w:r>
        <w:rPr>
          <w:rFonts w:ascii="Times New Roman"/>
          <w:b w:val="false"/>
          <w:i w:val="false"/>
          <w:color w:val="000000"/>
          <w:sz w:val="28"/>
        </w:rPr>
        <w:t xml:space="preserve">
      (s) "ПЗФ" - периодический запрос о финансировании, представляемый Заемщиком с целью, получения займа в рамках ММФ и с целью получения средств настоящего Соглашения о займе означает периодический запрос о финансировании от_______; </w:t>
      </w:r>
      <w:r>
        <w:br/>
      </w:r>
      <w:r>
        <w:rPr>
          <w:rFonts w:ascii="Times New Roman"/>
          <w:b w:val="false"/>
          <w:i w:val="false"/>
          <w:color w:val="000000"/>
          <w:sz w:val="28"/>
        </w:rPr>
        <w:t>
</w:t>
      </w:r>
      <w:r>
        <w:rPr>
          <w:rFonts w:ascii="Times New Roman"/>
          <w:b w:val="false"/>
          <w:i w:val="false"/>
          <w:color w:val="000000"/>
          <w:sz w:val="28"/>
        </w:rPr>
        <w:t xml:space="preserve">
      (t) "КУП-АБР" - группа консультантов по управлению проектом согласно пункту 2 Приложения 5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(u) "КУП-ВБ" - группа по управлению проектом, основанная в рамках займа Всемирного Банка; </w:t>
      </w:r>
      <w:r>
        <w:br/>
      </w:r>
      <w:r>
        <w:rPr>
          <w:rFonts w:ascii="Times New Roman"/>
          <w:b w:val="false"/>
          <w:i w:val="false"/>
          <w:color w:val="000000"/>
          <w:sz w:val="28"/>
        </w:rPr>
        <w:t>
</w:t>
      </w:r>
      <w:r>
        <w:rPr>
          <w:rFonts w:ascii="Times New Roman"/>
          <w:b w:val="false"/>
          <w:i w:val="false"/>
          <w:color w:val="000000"/>
          <w:sz w:val="28"/>
        </w:rPr>
        <w:t xml:space="preserve">
      (v) "Руководство по закупкам" - Руководство по закупкам АБР (2007, с периодическими поправками); </w:t>
      </w:r>
      <w:r>
        <w:br/>
      </w:r>
      <w:r>
        <w:rPr>
          <w:rFonts w:ascii="Times New Roman"/>
          <w:b w:val="false"/>
          <w:i w:val="false"/>
          <w:color w:val="000000"/>
          <w:sz w:val="28"/>
        </w:rPr>
        <w:t>
</w:t>
      </w:r>
      <w:r>
        <w:rPr>
          <w:rFonts w:ascii="Times New Roman"/>
          <w:b w:val="false"/>
          <w:i w:val="false"/>
          <w:color w:val="000000"/>
          <w:sz w:val="28"/>
        </w:rPr>
        <w:t xml:space="preserve">
      (w) "План закупок" - план закупок для проекта от 10 октября 2008 года, согласованный между Заемщиком и АБР, с периодическими обновлениями в соответствии в Руководством по закупкам, Руководством по привлечению консультантов и прочими принципами, согласованными с АБР; </w:t>
      </w:r>
      <w:r>
        <w:br/>
      </w:r>
      <w:r>
        <w:rPr>
          <w:rFonts w:ascii="Times New Roman"/>
          <w:b w:val="false"/>
          <w:i w:val="false"/>
          <w:color w:val="000000"/>
          <w:sz w:val="28"/>
        </w:rPr>
        <w:t>
</w:t>
      </w:r>
      <w:r>
        <w:rPr>
          <w:rFonts w:ascii="Times New Roman"/>
          <w:b w:val="false"/>
          <w:i w:val="false"/>
          <w:color w:val="000000"/>
          <w:sz w:val="28"/>
        </w:rPr>
        <w:t xml:space="preserve">
      (х) "Проект" - общее определение дано в Правилах предоставления займа и упоминается как Проект 1 в рамках Инвестиционной программы для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xml:space="preserve">
      (y) "Территория проекта" - участок "Тараз - Кордай" Жамбылская область, на территории Заемщика; </w:t>
      </w:r>
      <w:r>
        <w:br/>
      </w:r>
      <w:r>
        <w:rPr>
          <w:rFonts w:ascii="Times New Roman"/>
          <w:b w:val="false"/>
          <w:i w:val="false"/>
          <w:color w:val="000000"/>
          <w:sz w:val="28"/>
        </w:rPr>
        <w:t>
</w:t>
      </w:r>
      <w:r>
        <w:rPr>
          <w:rFonts w:ascii="Times New Roman"/>
          <w:b w:val="false"/>
          <w:i w:val="false"/>
          <w:color w:val="000000"/>
          <w:sz w:val="28"/>
        </w:rPr>
        <w:t xml:space="preserve">
      (z) "Исполнительное Агентство по проекту" или "ИА" - для целей и в рамках Правил предоставления займа означает МТК и его правопреемника в качестве организации, ответственной за исполнение проекта; </w:t>
      </w:r>
      <w:r>
        <w:br/>
      </w:r>
      <w:r>
        <w:rPr>
          <w:rFonts w:ascii="Times New Roman"/>
          <w:b w:val="false"/>
          <w:i w:val="false"/>
          <w:color w:val="000000"/>
          <w:sz w:val="28"/>
        </w:rPr>
        <w:t>
</w:t>
      </w:r>
      <w:r>
        <w:rPr>
          <w:rFonts w:ascii="Times New Roman"/>
          <w:b w:val="false"/>
          <w:i w:val="false"/>
          <w:color w:val="000000"/>
          <w:sz w:val="28"/>
        </w:rPr>
        <w:t xml:space="preserve">
      (аа) "Проектные объекты" - объекты, которые будут построены либо предоставлены в рамках проекта; </w:t>
      </w:r>
      <w:r>
        <w:br/>
      </w:r>
      <w:r>
        <w:rPr>
          <w:rFonts w:ascii="Times New Roman"/>
          <w:b w:val="false"/>
          <w:i w:val="false"/>
          <w:color w:val="000000"/>
          <w:sz w:val="28"/>
        </w:rPr>
        <w:t>
</w:t>
      </w:r>
      <w:r>
        <w:rPr>
          <w:rFonts w:ascii="Times New Roman"/>
          <w:b w:val="false"/>
          <w:i w:val="false"/>
          <w:color w:val="000000"/>
          <w:sz w:val="28"/>
        </w:rPr>
        <w:t xml:space="preserve">
      (bb) "Проектная дорога" - участки Транспортного коридора ЦАРЭС 1 между Таразом и Кордаем с км 404 по км 483 и с км 214 по км 260 на территории проекта, подлежащие реконструкции в рамках Проекта; </w:t>
      </w:r>
      <w:r>
        <w:br/>
      </w:r>
      <w:r>
        <w:rPr>
          <w:rFonts w:ascii="Times New Roman"/>
          <w:b w:val="false"/>
          <w:i w:val="false"/>
          <w:color w:val="000000"/>
          <w:sz w:val="28"/>
        </w:rPr>
        <w:t>
</w:t>
      </w:r>
      <w:r>
        <w:rPr>
          <w:rFonts w:ascii="Times New Roman"/>
          <w:b w:val="false"/>
          <w:i w:val="false"/>
          <w:color w:val="000000"/>
          <w:sz w:val="28"/>
        </w:rPr>
        <w:t xml:space="preserve">
      (cc) "Область" - единица административно-территориального деления Заемщика; </w:t>
      </w:r>
      <w:r>
        <w:br/>
      </w:r>
      <w:r>
        <w:rPr>
          <w:rFonts w:ascii="Times New Roman"/>
          <w:b w:val="false"/>
          <w:i w:val="false"/>
          <w:color w:val="000000"/>
          <w:sz w:val="28"/>
        </w:rPr>
        <w:t>
</w:t>
      </w:r>
      <w:r>
        <w:rPr>
          <w:rFonts w:ascii="Times New Roman"/>
          <w:b w:val="false"/>
          <w:i w:val="false"/>
          <w:color w:val="000000"/>
          <w:sz w:val="28"/>
        </w:rPr>
        <w:t xml:space="preserve">
      (dd) "ЭиС" - эксплуатация и содержание; </w:t>
      </w:r>
      <w:r>
        <w:br/>
      </w:r>
      <w:r>
        <w:rPr>
          <w:rFonts w:ascii="Times New Roman"/>
          <w:b w:val="false"/>
          <w:i w:val="false"/>
          <w:color w:val="000000"/>
          <w:sz w:val="28"/>
        </w:rPr>
        <w:t>
</w:t>
      </w:r>
      <w:r>
        <w:rPr>
          <w:rFonts w:ascii="Times New Roman"/>
          <w:b w:val="false"/>
          <w:i w:val="false"/>
          <w:color w:val="000000"/>
          <w:sz w:val="28"/>
        </w:rPr>
        <w:t xml:space="preserve">
      (ее) "район" - единица административно-территориального деления в составе области; </w:t>
      </w:r>
      <w:r>
        <w:br/>
      </w:r>
      <w:r>
        <w:rPr>
          <w:rFonts w:ascii="Times New Roman"/>
          <w:b w:val="false"/>
          <w:i w:val="false"/>
          <w:color w:val="000000"/>
          <w:sz w:val="28"/>
        </w:rPr>
        <w:t>
</w:t>
      </w:r>
      <w:r>
        <w:rPr>
          <w:rFonts w:ascii="Times New Roman"/>
          <w:b w:val="false"/>
          <w:i w:val="false"/>
          <w:color w:val="000000"/>
          <w:sz w:val="28"/>
        </w:rPr>
        <w:t xml:space="preserve">
      (ff) "ПРАД" - Программа Развития автомобильных дорог Заемщика на 2006-2012 годы; </w:t>
      </w:r>
      <w:r>
        <w:br/>
      </w:r>
      <w:r>
        <w:rPr>
          <w:rFonts w:ascii="Times New Roman"/>
          <w:b w:val="false"/>
          <w:i w:val="false"/>
          <w:color w:val="000000"/>
          <w:sz w:val="28"/>
        </w:rPr>
        <w:t>
</w:t>
      </w:r>
      <w:r>
        <w:rPr>
          <w:rFonts w:ascii="Times New Roman"/>
          <w:b w:val="false"/>
          <w:i w:val="false"/>
          <w:color w:val="000000"/>
          <w:sz w:val="28"/>
        </w:rPr>
        <w:t xml:space="preserve">
      (gg) "КОВОС" - краткая ПОВОС; </w:t>
      </w:r>
      <w:r>
        <w:br/>
      </w:r>
      <w:r>
        <w:rPr>
          <w:rFonts w:ascii="Times New Roman"/>
          <w:b w:val="false"/>
          <w:i w:val="false"/>
          <w:color w:val="000000"/>
          <w:sz w:val="28"/>
        </w:rPr>
        <w:t>
</w:t>
      </w:r>
      <w:r>
        <w:rPr>
          <w:rFonts w:ascii="Times New Roman"/>
          <w:b w:val="false"/>
          <w:i w:val="false"/>
          <w:color w:val="000000"/>
          <w:sz w:val="28"/>
        </w:rPr>
        <w:t xml:space="preserve">
      (hh) "Заем ВБ" - заем, предоставленный Всемирным Банком Заемщику для программы развития международного транзитного коридора Западная Европа - Западный Китай; </w:t>
      </w:r>
      <w:r>
        <w:br/>
      </w:r>
      <w:r>
        <w:rPr>
          <w:rFonts w:ascii="Times New Roman"/>
          <w:b w:val="false"/>
          <w:i w:val="false"/>
          <w:color w:val="000000"/>
          <w:sz w:val="28"/>
        </w:rPr>
        <w:t>
</w:t>
      </w:r>
      <w:r>
        <w:rPr>
          <w:rFonts w:ascii="Times New Roman"/>
          <w:b w:val="false"/>
          <w:i w:val="false"/>
          <w:color w:val="000000"/>
          <w:sz w:val="28"/>
        </w:rPr>
        <w:t xml:space="preserve">
      (ii) "Работы" - строительные работы, финансируемые за счет займа, включая такие услуги как бурение или картографирование, а также услуги, относящиеся к проекту, и оказываемые в рамках единого обязательства либо контракта на строительство "под ключ", за исключением консалтинговых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II </w:t>
      </w:r>
    </w:p>
    <w:p>
      <w:pPr>
        <w:spacing w:after="0"/>
        <w:ind w:left="0"/>
        <w:jc w:val="both"/>
      </w:pPr>
      <w:r>
        <w:rPr>
          <w:rFonts w:ascii="Times New Roman"/>
          <w:b/>
          <w:i w:val="false"/>
          <w:color w:val="000080"/>
          <w:sz w:val="28"/>
        </w:rPr>
        <w:t xml:space="preserve">Заем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Раздел 2.01. (а) АБР соглашается предоставить заем Заемщику из обычных капитальных ресурсов АБР на сумму триста сорок миллионов долларов США ($ 340,000,000),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xml:space="preserve">
      (b) Заем предполагает период основного погашения 20 лет, а также льготный период согласно пункту (с) данной Статьи. </w:t>
      </w:r>
      <w:r>
        <w:br/>
      </w:r>
      <w:r>
        <w:rPr>
          <w:rFonts w:ascii="Times New Roman"/>
          <w:b w:val="false"/>
          <w:i w:val="false"/>
          <w:color w:val="000000"/>
          <w:sz w:val="28"/>
        </w:rPr>
        <w:t>
</w:t>
      </w:r>
      <w:r>
        <w:rPr>
          <w:rFonts w:ascii="Times New Roman"/>
          <w:b w:val="false"/>
          <w:i w:val="false"/>
          <w:color w:val="000000"/>
          <w:sz w:val="28"/>
        </w:rPr>
        <w:t xml:space="preserve">
      (c) Определение "льготный период", используемое в пункте (b) данной Статьи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xml:space="preserve">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0.60 % согласно Разделу 3.02 Правил предоставления займа, минус кредит 0.40 % согласно Разделу 3.03 Правил предоставления займа. </w:t>
      </w:r>
      <w:r>
        <w:br/>
      </w:r>
      <w:r>
        <w:rPr>
          <w:rFonts w:ascii="Times New Roman"/>
          <w:b w:val="false"/>
          <w:i w:val="false"/>
          <w:color w:val="000000"/>
          <w:sz w:val="28"/>
        </w:rPr>
        <w:t>
</w:t>
      </w:r>
      <w:r>
        <w:rPr>
          <w:rFonts w:ascii="Times New Roman"/>
          <w:b w:val="false"/>
          <w:i w:val="false"/>
          <w:color w:val="000000"/>
          <w:sz w:val="28"/>
        </w:rPr>
        <w:t xml:space="preserve">
      Раздел 2.03. Заемщик обязуется выплачивать комиссию за резервирование в сумме 0.15 % ежегодно. Данная комиссия начисляется на невостребованную сумму займа по истечению шестидесяти (60) дней после заключения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xml:space="preserve">
      Раздел 2.04. Проценты и прочие выплаты по займу подлежат оплате один раз в полугодие 15 апреля и 15 октября каждого года. </w:t>
      </w:r>
      <w:r>
        <w:br/>
      </w:r>
      <w:r>
        <w:rPr>
          <w:rFonts w:ascii="Times New Roman"/>
          <w:b w:val="false"/>
          <w:i w:val="false"/>
          <w:color w:val="000000"/>
          <w:sz w:val="28"/>
        </w:rPr>
        <w:t>
</w:t>
      </w:r>
      <w:r>
        <w:rPr>
          <w:rFonts w:ascii="Times New Roman"/>
          <w:b w:val="false"/>
          <w:i w:val="false"/>
          <w:color w:val="000000"/>
          <w:sz w:val="28"/>
        </w:rPr>
        <w:t xml:space="preserve">
      Раздел 2.05. Заемщик обязуется выплатить основную сумму займа, востребованную с Ссудного счета в соответствии с положениями Приложения 2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xml:space="preserve">
      Раздел 2.06. (а) Заемщик вправе в любое время запросить нижеследующие конвертации займа с целью оптимально рационального регулирования займа: </w:t>
      </w:r>
      <w:r>
        <w:br/>
      </w:r>
      <w:r>
        <w:rPr>
          <w:rFonts w:ascii="Times New Roman"/>
          <w:b w:val="false"/>
          <w:i w:val="false"/>
          <w:color w:val="000000"/>
          <w:sz w:val="28"/>
        </w:rPr>
        <w:t>
</w:t>
      </w:r>
      <w:r>
        <w:rPr>
          <w:rFonts w:ascii="Times New Roman"/>
          <w:b w:val="false"/>
          <w:i w:val="false"/>
          <w:color w:val="000000"/>
          <w:sz w:val="28"/>
        </w:rPr>
        <w:t xml:space="preserve">
      (i)   Изменение валюты займа полной или частичной суммы займа, </w:t>
      </w:r>
      <w:r>
        <w:br/>
      </w:r>
      <w:r>
        <w:rPr>
          <w:rFonts w:ascii="Times New Roman"/>
          <w:b w:val="false"/>
          <w:i w:val="false"/>
          <w:color w:val="000000"/>
          <w:sz w:val="28"/>
        </w:rPr>
        <w:t>
</w:t>
      </w:r>
      <w:r>
        <w:rPr>
          <w:rFonts w:ascii="Times New Roman"/>
          <w:b w:val="false"/>
          <w:i w:val="false"/>
          <w:color w:val="000000"/>
          <w:sz w:val="28"/>
        </w:rPr>
        <w:t xml:space="preserve">
            востребованной или невостребованной, на утвержденную </w:t>
      </w:r>
      <w:r>
        <w:br/>
      </w:r>
      <w:r>
        <w:rPr>
          <w:rFonts w:ascii="Times New Roman"/>
          <w:b w:val="false"/>
          <w:i w:val="false"/>
          <w:color w:val="000000"/>
          <w:sz w:val="28"/>
        </w:rPr>
        <w:t>
</w:t>
      </w:r>
      <w:r>
        <w:rPr>
          <w:rFonts w:ascii="Times New Roman"/>
          <w:b w:val="false"/>
          <w:i w:val="false"/>
          <w:color w:val="000000"/>
          <w:sz w:val="28"/>
        </w:rPr>
        <w:t xml:space="preserve">
            валюту; </w:t>
      </w:r>
      <w:r>
        <w:br/>
      </w:r>
      <w:r>
        <w:rPr>
          <w:rFonts w:ascii="Times New Roman"/>
          <w:b w:val="false"/>
          <w:i w:val="false"/>
          <w:color w:val="000000"/>
          <w:sz w:val="28"/>
        </w:rPr>
        <w:t>
</w:t>
      </w:r>
      <w:r>
        <w:rPr>
          <w:rFonts w:ascii="Times New Roman"/>
          <w:b w:val="false"/>
          <w:i w:val="false"/>
          <w:color w:val="000000"/>
          <w:sz w:val="28"/>
        </w:rPr>
        <w:t xml:space="preserve">
      (ii)  Изменение процентной ставки, применимой к полной или </w:t>
      </w:r>
      <w:r>
        <w:br/>
      </w:r>
      <w:r>
        <w:rPr>
          <w:rFonts w:ascii="Times New Roman"/>
          <w:b w:val="false"/>
          <w:i w:val="false"/>
          <w:color w:val="000000"/>
          <w:sz w:val="28"/>
        </w:rPr>
        <w:t>
</w:t>
      </w:r>
      <w:r>
        <w:rPr>
          <w:rFonts w:ascii="Times New Roman"/>
          <w:b w:val="false"/>
          <w:i w:val="false"/>
          <w:color w:val="000000"/>
          <w:sz w:val="28"/>
        </w:rPr>
        <w:t xml:space="preserve">
            частичной сумме займа с плавающей процентной ставки на </w:t>
      </w:r>
      <w:r>
        <w:br/>
      </w:r>
      <w:r>
        <w:rPr>
          <w:rFonts w:ascii="Times New Roman"/>
          <w:b w:val="false"/>
          <w:i w:val="false"/>
          <w:color w:val="000000"/>
          <w:sz w:val="28"/>
        </w:rPr>
        <w:t>
</w:t>
      </w:r>
      <w:r>
        <w:rPr>
          <w:rFonts w:ascii="Times New Roman"/>
          <w:b w:val="false"/>
          <w:i w:val="false"/>
          <w:color w:val="000000"/>
          <w:sz w:val="28"/>
        </w:rPr>
        <w:t xml:space="preserve">
            фиксированную и наоборот; а также </w:t>
      </w:r>
      <w:r>
        <w:br/>
      </w:r>
      <w:r>
        <w:rPr>
          <w:rFonts w:ascii="Times New Roman"/>
          <w:b w:val="false"/>
          <w:i w:val="false"/>
          <w:color w:val="000000"/>
          <w:sz w:val="28"/>
        </w:rPr>
        <w:t>
</w:t>
      </w:r>
      <w:r>
        <w:rPr>
          <w:rFonts w:ascii="Times New Roman"/>
          <w:b w:val="false"/>
          <w:i w:val="false"/>
          <w:color w:val="000000"/>
          <w:sz w:val="28"/>
        </w:rPr>
        <w:t xml:space="preserve">
      (iii) Установление лимита на плавающую процентную ставку, </w:t>
      </w:r>
      <w:r>
        <w:br/>
      </w:r>
      <w:r>
        <w:rPr>
          <w:rFonts w:ascii="Times New Roman"/>
          <w:b w:val="false"/>
          <w:i w:val="false"/>
          <w:color w:val="000000"/>
          <w:sz w:val="28"/>
        </w:rPr>
        <w:t>
</w:t>
      </w:r>
      <w:r>
        <w:rPr>
          <w:rFonts w:ascii="Times New Roman"/>
          <w:b w:val="false"/>
          <w:i w:val="false"/>
          <w:color w:val="000000"/>
          <w:sz w:val="28"/>
        </w:rPr>
        <w:t xml:space="preserve">
            применимую к полной или частичной сумме займа, </w:t>
      </w:r>
      <w:r>
        <w:br/>
      </w:r>
      <w:r>
        <w:rPr>
          <w:rFonts w:ascii="Times New Roman"/>
          <w:b w:val="false"/>
          <w:i w:val="false"/>
          <w:color w:val="000000"/>
          <w:sz w:val="28"/>
        </w:rPr>
        <w:t>
</w:t>
      </w:r>
      <w:r>
        <w:rPr>
          <w:rFonts w:ascii="Times New Roman"/>
          <w:b w:val="false"/>
          <w:i w:val="false"/>
          <w:color w:val="000000"/>
          <w:sz w:val="28"/>
        </w:rPr>
        <w:t xml:space="preserve">
            востребованного или невостребованного, путем установления </w:t>
      </w:r>
      <w:r>
        <w:br/>
      </w:r>
      <w:r>
        <w:rPr>
          <w:rFonts w:ascii="Times New Roman"/>
          <w:b w:val="false"/>
          <w:i w:val="false"/>
          <w:color w:val="000000"/>
          <w:sz w:val="28"/>
        </w:rPr>
        <w:t>
</w:t>
      </w:r>
      <w:r>
        <w:rPr>
          <w:rFonts w:ascii="Times New Roman"/>
          <w:b w:val="false"/>
          <w:i w:val="false"/>
          <w:color w:val="000000"/>
          <w:sz w:val="28"/>
        </w:rPr>
        <w:t xml:space="preserve">
            процентного "кэпа" (фиксированного максимума процентной </w:t>
      </w:r>
      <w:r>
        <w:br/>
      </w:r>
      <w:r>
        <w:rPr>
          <w:rFonts w:ascii="Times New Roman"/>
          <w:b w:val="false"/>
          <w:i w:val="false"/>
          <w:color w:val="000000"/>
          <w:sz w:val="28"/>
        </w:rPr>
        <w:t>
</w:t>
      </w:r>
      <w:r>
        <w:rPr>
          <w:rFonts w:ascii="Times New Roman"/>
          <w:b w:val="false"/>
          <w:i w:val="false"/>
          <w:color w:val="000000"/>
          <w:sz w:val="28"/>
        </w:rPr>
        <w:t xml:space="preserve">
            ставки) либо фиксированных минимума и максимума </w:t>
      </w:r>
      <w:r>
        <w:br/>
      </w:r>
      <w:r>
        <w:rPr>
          <w:rFonts w:ascii="Times New Roman"/>
          <w:b w:val="false"/>
          <w:i w:val="false"/>
          <w:color w:val="000000"/>
          <w:sz w:val="28"/>
        </w:rPr>
        <w:t>
</w:t>
      </w:r>
      <w:r>
        <w:rPr>
          <w:rFonts w:ascii="Times New Roman"/>
          <w:b w:val="false"/>
          <w:i w:val="false"/>
          <w:color w:val="000000"/>
          <w:sz w:val="28"/>
        </w:rPr>
        <w:t xml:space="preserve">
            процентной ставки. </w:t>
      </w:r>
      <w:r>
        <w:br/>
      </w:r>
      <w:r>
        <w:rPr>
          <w:rFonts w:ascii="Times New Roman"/>
          <w:b w:val="false"/>
          <w:i w:val="false"/>
          <w:color w:val="000000"/>
          <w:sz w:val="28"/>
        </w:rPr>
        <w:t>
</w:t>
      </w:r>
      <w:r>
        <w:rPr>
          <w:rFonts w:ascii="Times New Roman"/>
          <w:b w:val="false"/>
          <w:i w:val="false"/>
          <w:color w:val="000000"/>
          <w:sz w:val="28"/>
        </w:rPr>
        <w:t xml:space="preserve">
      (b) Запрос об изменениях, обусловленных в пункте (а) данной Статьи, одобренный АБР, следует считать "Конвертацией" по определению Раздела 2.01(6) Правил предоставления займа, вступающим в силу в соответствии с положениями Раздела V Правил предоставления займа и Инструкции по Конвертации.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III </w:t>
      </w:r>
    </w:p>
    <w:p>
      <w:pPr>
        <w:spacing w:after="0"/>
        <w:ind w:left="0"/>
        <w:jc w:val="both"/>
      </w:pPr>
      <w:r>
        <w:rPr>
          <w:rFonts w:ascii="Times New Roman"/>
          <w:b/>
          <w:i w:val="false"/>
          <w:color w:val="000080"/>
          <w:sz w:val="28"/>
        </w:rPr>
        <w:t xml:space="preserve">Использование средств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Раздел 3.01. Заемщик обязуется использовать средства займа на финансирование проекта в соответствии с положениями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xml:space="preserve">
      Раздел 3.02. Работы и консалтинговые услуги, а также прочие расходы, финансируемые за счет средств займа, и распределение сумм займа по различным категориям работ, консалтинговых услуг и прочих расходов должны производиться в соответствии с положениями Приложения 3 настоящего Соглашения о займе, при этом допустимы периодические дополнения в данном Приложении по согласию Заемщика и АБР. </w:t>
      </w:r>
      <w:r>
        <w:br/>
      </w:r>
      <w:r>
        <w:rPr>
          <w:rFonts w:ascii="Times New Roman"/>
          <w:b w:val="false"/>
          <w:i w:val="false"/>
          <w:color w:val="000000"/>
          <w:sz w:val="28"/>
        </w:rPr>
        <w:t>
</w:t>
      </w:r>
      <w:r>
        <w:rPr>
          <w:rFonts w:ascii="Times New Roman"/>
          <w:b w:val="false"/>
          <w:i w:val="false"/>
          <w:color w:val="000000"/>
          <w:sz w:val="28"/>
        </w:rPr>
        <w:t xml:space="preserve">
      Раздел 3.03. Если АБР не указано иное, все работы и консалтинговые услуги, финансируемые за счет Займа, должны производиться в соответствии с положениями Приложения 4 настоящего Соглашения о займе. АБР вправе отказать в финансировании контракта, по которому работы и консалтинговые услуги не были произведены в соответствии с процедурами, оговоренными Заемщиком и АБР, либо в случае, если сроки и условия контракта не удовлетворяют требованиям АБР. </w:t>
      </w:r>
      <w:r>
        <w:br/>
      </w:r>
      <w:r>
        <w:rPr>
          <w:rFonts w:ascii="Times New Roman"/>
          <w:b w:val="false"/>
          <w:i w:val="false"/>
          <w:color w:val="000000"/>
          <w:sz w:val="28"/>
        </w:rPr>
        <w:t>
</w:t>
      </w:r>
      <w:r>
        <w:rPr>
          <w:rFonts w:ascii="Times New Roman"/>
          <w:b w:val="false"/>
          <w:i w:val="false"/>
          <w:color w:val="000000"/>
          <w:sz w:val="28"/>
        </w:rPr>
        <w:t xml:space="preserve">
      Раздел 3.04. Если АБР не указано иное, Заемщик обязуется обеспечить, чтобы все работы и консалтинговые услуги, финансируемые за счет средств займа, были использованы исключительно в целях исполнения проекта. </w:t>
      </w:r>
      <w:r>
        <w:br/>
      </w:r>
      <w:r>
        <w:rPr>
          <w:rFonts w:ascii="Times New Roman"/>
          <w:b w:val="false"/>
          <w:i w:val="false"/>
          <w:color w:val="000000"/>
          <w:sz w:val="28"/>
        </w:rPr>
        <w:t>
</w:t>
      </w:r>
      <w:r>
        <w:rPr>
          <w:rFonts w:ascii="Times New Roman"/>
          <w:b w:val="false"/>
          <w:i w:val="false"/>
          <w:color w:val="000000"/>
          <w:sz w:val="28"/>
        </w:rPr>
        <w:t xml:space="preserve">
      Раздел 3.05. Дата закрытия для снятия средств со счета займа для целей, изложенных в Разделе 9.02 Правил предоставления займа, считается 31 декабря 2013 года, либо другая дата, согласованная между Заемщиком и АБР.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IV </w:t>
      </w:r>
    </w:p>
    <w:p>
      <w:pPr>
        <w:spacing w:after="0"/>
        <w:ind w:left="0"/>
        <w:jc w:val="both"/>
      </w:pPr>
      <w:r>
        <w:rPr>
          <w:rFonts w:ascii="Times New Roman"/>
          <w:b/>
          <w:i w:val="false"/>
          <w:color w:val="000080"/>
          <w:sz w:val="28"/>
        </w:rPr>
        <w:t xml:space="preserve">Особые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Раздел 4.01. (а) Заемщик обязуется исполнять Проект с должной ответственностью и эффективностью и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 </w:t>
      </w:r>
      <w:r>
        <w:br/>
      </w:r>
      <w:r>
        <w:rPr>
          <w:rFonts w:ascii="Times New Roman"/>
          <w:b w:val="false"/>
          <w:i w:val="false"/>
          <w:color w:val="000000"/>
          <w:sz w:val="28"/>
        </w:rPr>
        <w:t>
</w:t>
      </w:r>
      <w:r>
        <w:rPr>
          <w:rFonts w:ascii="Times New Roman"/>
          <w:b w:val="false"/>
          <w:i w:val="false"/>
          <w:color w:val="000000"/>
          <w:sz w:val="28"/>
        </w:rPr>
        <w:t xml:space="preserve">
      (b) В процессе реализации Проекта и эксплуатации Проектных объектов Заемщик обязуется исполнять либо поручать исполнение всех обязательств, изложенных в Приложении 5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xml:space="preserve">
      Раздел 4.02. Заемщик обязуется незамедлительно обеспечить средства, объекты, услуги, земельные участки и прочие ресурсы, дополнительно к средствам Займа, необходимые для исполнения Проекта и для эксплуатации и технического обслуживания Проектных объектов. </w:t>
      </w:r>
      <w:r>
        <w:br/>
      </w:r>
      <w:r>
        <w:rPr>
          <w:rFonts w:ascii="Times New Roman"/>
          <w:b w:val="false"/>
          <w:i w:val="false"/>
          <w:color w:val="000000"/>
          <w:sz w:val="28"/>
        </w:rPr>
        <w:t>
</w:t>
      </w:r>
      <w:r>
        <w:rPr>
          <w:rFonts w:ascii="Times New Roman"/>
          <w:b w:val="false"/>
          <w:i w:val="false"/>
          <w:color w:val="000000"/>
          <w:sz w:val="28"/>
        </w:rPr>
        <w:t xml:space="preserve">
      Раздел 4.03. (а) В процессе реализации Проекта Заемщик обязуется обеспечить привлечение компетентных и квалифицированных консультантов и подрядчиков, по согласованию с АБР, на срок и на условиях, отвечающих требованиям Заемщика и АБР. </w:t>
      </w:r>
      <w:r>
        <w:br/>
      </w:r>
      <w:r>
        <w:rPr>
          <w:rFonts w:ascii="Times New Roman"/>
          <w:b w:val="false"/>
          <w:i w:val="false"/>
          <w:color w:val="000000"/>
          <w:sz w:val="28"/>
        </w:rPr>
        <w:t>
</w:t>
      </w:r>
      <w:r>
        <w:rPr>
          <w:rFonts w:ascii="Times New Roman"/>
          <w:b w:val="false"/>
          <w:i w:val="false"/>
          <w:color w:val="000000"/>
          <w:sz w:val="28"/>
        </w:rPr>
        <w:t xml:space="preserve">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одобренными АБР. Заемщик обязуется разработать либо поручить разработку данных планов, стандартов проектирования, спецификаций и графиков работ, а также любых материальных изменений, сделанных в последствии со степенью детальности, которую обоснованно потребует АБР. </w:t>
      </w:r>
      <w:r>
        <w:br/>
      </w:r>
      <w:r>
        <w:rPr>
          <w:rFonts w:ascii="Times New Roman"/>
          <w:b w:val="false"/>
          <w:i w:val="false"/>
          <w:color w:val="000000"/>
          <w:sz w:val="28"/>
        </w:rPr>
        <w:t>
</w:t>
      </w:r>
      <w:r>
        <w:rPr>
          <w:rFonts w:ascii="Times New Roman"/>
          <w:b w:val="false"/>
          <w:i w:val="false"/>
          <w:color w:val="000000"/>
          <w:sz w:val="28"/>
        </w:rPr>
        <w:t xml:space="preserve">
      Раздел 4.04. Заемщик обязуется обеспечить, чтобы все действия его министерств и организаций в отношении исполнения Проекта и эксплуатации Проектных объектов производились в соответствии с рациональными административной политикой и процедурами. </w:t>
      </w:r>
      <w:r>
        <w:br/>
      </w:r>
      <w:r>
        <w:rPr>
          <w:rFonts w:ascii="Times New Roman"/>
          <w:b w:val="false"/>
          <w:i w:val="false"/>
          <w:color w:val="000000"/>
          <w:sz w:val="28"/>
        </w:rPr>
        <w:t>
</w:t>
      </w:r>
      <w:r>
        <w:rPr>
          <w:rFonts w:ascii="Times New Roman"/>
          <w:b w:val="false"/>
          <w:i w:val="false"/>
          <w:color w:val="000000"/>
          <w:sz w:val="28"/>
        </w:rPr>
        <w:t xml:space="preserve">
      Раздел 4.05. (а) Заемщик обязуется (i) вести либо поручить ведение отдельных счетов для Проекта; (ii) проводить ежегодный аудит данных счетов и соответствующих финансовых отчетов в соответствии с соответствующими стандартами аудита, с привлечением независимых аудиторов, чьи квалификация, опыт работы и круг полномочий отвечают требованиям АБР; (iii) предоставить АБР, по мере получения, но ни в коей мере не более чем по истечении шести (6) месяцев с окончания каждого соответствующего фискального года, копии данных отчетов, не прошедших аудит и не более чем через шесть (6) месяцев после окончания соответствующего фискального года, заверенные копии данных счетов и финансовых отчетов, прошедших аудит, а также отчет аудиторов (включая заключение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требованию АБР. </w:t>
      </w:r>
      <w:r>
        <w:br/>
      </w:r>
      <w:r>
        <w:rPr>
          <w:rFonts w:ascii="Times New Roman"/>
          <w:b w:val="false"/>
          <w:i w:val="false"/>
          <w:color w:val="000000"/>
          <w:sz w:val="28"/>
        </w:rPr>
        <w:t>
</w:t>
      </w:r>
      <w:r>
        <w:rPr>
          <w:rFonts w:ascii="Times New Roman"/>
          <w:b w:val="false"/>
          <w:i w:val="false"/>
          <w:color w:val="000000"/>
          <w:sz w:val="28"/>
        </w:rPr>
        <w:t xml:space="preserve">
      (b) Заемщик обязуется предоставить АБР право, по 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положениями Раздела 4.05(a) и обязуется уполномочить и потребовать, чтобы любой из представителей аудиторов принял участие в данном обсуждении, по запросу АБР, при условии, что обсуждение будет проводиться только в присутствии уполномоченного представителя Заемщика, если иное не указано Заемщиком. </w:t>
      </w:r>
      <w:r>
        <w:br/>
      </w:r>
      <w:r>
        <w:rPr>
          <w:rFonts w:ascii="Times New Roman"/>
          <w:b w:val="false"/>
          <w:i w:val="false"/>
          <w:color w:val="000000"/>
          <w:sz w:val="28"/>
        </w:rPr>
        <w:t>
</w:t>
      </w:r>
      <w:r>
        <w:rPr>
          <w:rFonts w:ascii="Times New Roman"/>
          <w:b w:val="false"/>
          <w:i w:val="false"/>
          <w:color w:val="000000"/>
          <w:sz w:val="28"/>
        </w:rPr>
        <w:t xml:space="preserve">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соответствующие записи и документы. </w:t>
      </w:r>
      <w:r>
        <w:br/>
      </w:r>
      <w:r>
        <w:rPr>
          <w:rFonts w:ascii="Times New Roman"/>
          <w:b w:val="false"/>
          <w:i w:val="false"/>
          <w:color w:val="000000"/>
          <w:sz w:val="28"/>
        </w:rPr>
        <w:t>
</w:t>
      </w:r>
      <w:r>
        <w:rPr>
          <w:rFonts w:ascii="Times New Roman"/>
          <w:b w:val="false"/>
          <w:i w:val="false"/>
          <w:color w:val="000000"/>
          <w:sz w:val="28"/>
        </w:rPr>
        <w:t xml:space="preserve">
      Раздел 4.07. Заемщик обязуется обеспечить, чтобы все Проектные объекты эксплуатировались, содержались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V </w:t>
      </w:r>
    </w:p>
    <w:p>
      <w:pPr>
        <w:spacing w:after="0"/>
        <w:ind w:left="0"/>
        <w:jc w:val="both"/>
      </w:pPr>
      <w:r>
        <w:rPr>
          <w:rFonts w:ascii="Times New Roman"/>
          <w:b/>
          <w:i w:val="false"/>
          <w:color w:val="000080"/>
          <w:sz w:val="28"/>
        </w:rPr>
        <w:t xml:space="preserve">Временное приостановление; Сокращение срока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Раздел 5.01. Далее изложен дополнительный случай приостановки права Заемщика снимать средства со счета займа для целей, изложенных в Разделе </w:t>
      </w:r>
      <w:r>
        <w:rPr>
          <w:rFonts w:ascii="Times New Roman"/>
          <w:b w:val="false"/>
          <w:i w:val="false"/>
          <w:color w:val="000000"/>
          <w:sz w:val="28"/>
        </w:rPr>
        <w:t xml:space="preserve">9.01(I) </w:t>
      </w:r>
      <w:r>
        <w:rPr>
          <w:rFonts w:ascii="Times New Roman"/>
          <w:b w:val="false"/>
          <w:i w:val="false"/>
          <w:color w:val="000000"/>
          <w:sz w:val="28"/>
        </w:rPr>
        <w:t xml:space="preserve">Правил предоставления займа: если Заем ВБ подлежит приостановлению или отмене, либо подлежит погашению до согласованной даты погашения. </w:t>
      </w:r>
      <w:r>
        <w:br/>
      </w:r>
      <w:r>
        <w:rPr>
          <w:rFonts w:ascii="Times New Roman"/>
          <w:b w:val="false"/>
          <w:i w:val="false"/>
          <w:color w:val="000000"/>
          <w:sz w:val="28"/>
        </w:rPr>
        <w:t>
</w:t>
      </w:r>
      <w:r>
        <w:rPr>
          <w:rFonts w:ascii="Times New Roman"/>
          <w:b w:val="false"/>
          <w:i w:val="false"/>
          <w:color w:val="000000"/>
          <w:sz w:val="28"/>
        </w:rPr>
        <w:t xml:space="preserve">
      Раздел 5.02. Далее изложен дополнительный случай сокращения даты погашения займа для целей, изложенных в Разделе 9.07(a)(iv) Правил предоставления займа: если произошли события, описанные в Разделе 5.01 настоящего Соглашения о займе.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VI </w:t>
      </w:r>
    </w:p>
    <w:p>
      <w:pPr>
        <w:spacing w:after="0"/>
        <w:ind w:left="0"/>
        <w:jc w:val="both"/>
      </w:pPr>
      <w:r>
        <w:rPr>
          <w:rFonts w:ascii="Times New Roman"/>
          <w:b/>
          <w:i w:val="false"/>
          <w:color w:val="000080"/>
          <w:sz w:val="28"/>
        </w:rPr>
        <w:t xml:space="preserve">Вступление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Раздел 6.01. Дата по истечении шестидесяти (60) дней после заключения настоящего Соглашения о займе считается датой вступления в силу Соглашения о займе для целей, изложенных в Разделе 10.04 Правил предоставления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VII </w:t>
      </w:r>
    </w:p>
    <w:p>
      <w:pPr>
        <w:spacing w:after="0"/>
        <w:ind w:left="0"/>
        <w:jc w:val="both"/>
      </w:pPr>
      <w:r>
        <w:rPr>
          <w:rFonts w:ascii="Times New Roman"/>
          <w:b/>
          <w:i w:val="false"/>
          <w:color w:val="000080"/>
          <w:sz w:val="28"/>
        </w:rPr>
        <w:t xml:space="preserve">Прочие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Раздел 7.01. Министр финансов Заемщика выступает в качестве представителя Заемщика для целей, изложенных в Разделе 12.02 Правил предоставления займа. </w:t>
      </w:r>
      <w:r>
        <w:br/>
      </w:r>
      <w:r>
        <w:rPr>
          <w:rFonts w:ascii="Times New Roman"/>
          <w:b w:val="false"/>
          <w:i w:val="false"/>
          <w:color w:val="000000"/>
          <w:sz w:val="28"/>
        </w:rPr>
        <w:t>
</w:t>
      </w:r>
      <w:r>
        <w:rPr>
          <w:rFonts w:ascii="Times New Roman"/>
          <w:b w:val="false"/>
          <w:i w:val="false"/>
          <w:color w:val="000000"/>
          <w:sz w:val="28"/>
        </w:rPr>
        <w:t xml:space="preserve">
      Раздел 7.02. Нижеследующие реквизиты указаны для целей, изложенных в Разделе 12.01 Правил предоставления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Заемщик </w:t>
      </w:r>
    </w:p>
    <w:p>
      <w:pPr>
        <w:spacing w:after="0"/>
        <w:ind w:left="0"/>
        <w:jc w:val="both"/>
      </w:pP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Проспект Победы,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Факс: </w:t>
      </w:r>
      <w:r>
        <w:br/>
      </w:r>
      <w:r>
        <w:rPr>
          <w:rFonts w:ascii="Times New Roman"/>
          <w:b w:val="false"/>
          <w:i w:val="false"/>
          <w:color w:val="000000"/>
          <w:sz w:val="28"/>
        </w:rPr>
        <w:t xml:space="preserve">
         +7(7172)71 77 85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АБР </w:t>
      </w:r>
    </w:p>
    <w:p>
      <w:pPr>
        <w:spacing w:after="0"/>
        <w:ind w:left="0"/>
        <w:jc w:val="both"/>
      </w:pPr>
      <w:r>
        <w:rPr>
          <w:rFonts w:ascii="Times New Roman"/>
          <w:b w:val="false"/>
          <w:i w:val="false"/>
          <w:color w:val="000000"/>
          <w:sz w:val="28"/>
        </w:rPr>
        <w:t xml:space="preserve">         Asian Development Bank </w:t>
      </w:r>
      <w:r>
        <w:br/>
      </w:r>
      <w:r>
        <w:rPr>
          <w:rFonts w:ascii="Times New Roman"/>
          <w:b w:val="false"/>
          <w:i w:val="false"/>
          <w:color w:val="000000"/>
          <w:sz w:val="28"/>
        </w:rPr>
        <w:t xml:space="preserve">
         P.O. Box 789 </w:t>
      </w:r>
      <w:r>
        <w:br/>
      </w:r>
      <w:r>
        <w:rPr>
          <w:rFonts w:ascii="Times New Roman"/>
          <w:b w:val="false"/>
          <w:i w:val="false"/>
          <w:color w:val="000000"/>
          <w:sz w:val="28"/>
        </w:rPr>
        <w:t xml:space="preserve">
         0980 Manila, Philippines </w:t>
      </w:r>
    </w:p>
    <w:p>
      <w:pPr>
        <w:spacing w:after="0"/>
        <w:ind w:left="0"/>
        <w:jc w:val="both"/>
      </w:pPr>
      <w:r>
        <w:rPr>
          <w:rFonts w:ascii="Times New Roman"/>
          <w:b w:val="false"/>
          <w:i w:val="false"/>
          <w:color w:val="000000"/>
          <w:sz w:val="28"/>
        </w:rPr>
        <w:t xml:space="preserve">         Факс: </w:t>
      </w:r>
      <w:r>
        <w:br/>
      </w:r>
      <w:r>
        <w:rPr>
          <w:rFonts w:ascii="Times New Roman"/>
          <w:b w:val="false"/>
          <w:i w:val="false"/>
          <w:color w:val="000000"/>
          <w:sz w:val="28"/>
        </w:rPr>
        <w:t xml:space="preserve">
        (632) 636-2444 </w:t>
      </w:r>
      <w:r>
        <w:br/>
      </w:r>
      <w:r>
        <w:rPr>
          <w:rFonts w:ascii="Times New Roman"/>
          <w:b w:val="false"/>
          <w:i w:val="false"/>
          <w:color w:val="000000"/>
          <w:sz w:val="28"/>
        </w:rPr>
        <w:t xml:space="preserve">
        (632) 636-2428.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ПОДТВЕРЖДЕНИЕ ВЫШЕИЗЛОЖЕННОГО стороны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АЗИАТСКИЙ БАНК РАЗВИТИЯ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1 </w:t>
      </w:r>
    </w:p>
    <w:p>
      <w:pPr>
        <w:spacing w:after="0"/>
        <w:ind w:left="0"/>
        <w:jc w:val="both"/>
      </w:pPr>
      <w:r>
        <w:rPr>
          <w:rFonts w:ascii="Times New Roman"/>
          <w:b/>
          <w:i w:val="false"/>
          <w:color w:val="000080"/>
          <w:sz w:val="28"/>
        </w:rPr>
        <w:t xml:space="preserve">Описание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Ожидается, что реализация Инвестиционной программы обеспечит стабильное экономическое развитие Заемщика. </w:t>
      </w:r>
      <w:r>
        <w:br/>
      </w:r>
      <w:r>
        <w:rPr>
          <w:rFonts w:ascii="Times New Roman"/>
          <w:b w:val="false"/>
          <w:i w:val="false"/>
          <w:color w:val="000000"/>
          <w:sz w:val="28"/>
        </w:rPr>
        <w:t>
</w:t>
      </w:r>
      <w:r>
        <w:rPr>
          <w:rFonts w:ascii="Times New Roman"/>
          <w:b w:val="false"/>
          <w:i w:val="false"/>
          <w:color w:val="000000"/>
          <w:sz w:val="28"/>
        </w:rPr>
        <w:t xml:space="preserve">
      2. Являясь частью Инвестиционной программы, Проект направлен на развитие эффективной транспортной системы на Территории проекта. </w:t>
      </w:r>
      <w:r>
        <w:br/>
      </w:r>
      <w:r>
        <w:rPr>
          <w:rFonts w:ascii="Times New Roman"/>
          <w:b w:val="false"/>
          <w:i w:val="false"/>
          <w:color w:val="000000"/>
          <w:sz w:val="28"/>
        </w:rPr>
        <w:t>
</w:t>
      </w:r>
      <w:r>
        <w:rPr>
          <w:rFonts w:ascii="Times New Roman"/>
          <w:b w:val="false"/>
          <w:i w:val="false"/>
          <w:color w:val="000000"/>
          <w:sz w:val="28"/>
        </w:rPr>
        <w:t xml:space="preserve">
      3. Проект состоит из двух компонентов: (i) развитие дорог, включая строительство и реконструкцию около 125 км Проектной дороги, и (ii) компонент эксплуатации и содержания дорог, более подробно изложенный в ПЗФ. </w:t>
      </w:r>
      <w:r>
        <w:br/>
      </w:r>
      <w:r>
        <w:rPr>
          <w:rFonts w:ascii="Times New Roman"/>
          <w:b w:val="false"/>
          <w:i w:val="false"/>
          <w:color w:val="000000"/>
          <w:sz w:val="28"/>
        </w:rPr>
        <w:t>
</w:t>
      </w:r>
      <w:r>
        <w:rPr>
          <w:rFonts w:ascii="Times New Roman"/>
          <w:b w:val="false"/>
          <w:i w:val="false"/>
          <w:color w:val="000000"/>
          <w:sz w:val="28"/>
        </w:rPr>
        <w:t xml:space="preserve">
      4. Завершение проекта ожидается к 31 декабря 2012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График погашения займа </w:t>
      </w:r>
      <w:r>
        <w:br/>
      </w:r>
      <w:r>
        <w:rPr>
          <w:rFonts w:ascii="Times New Roman"/>
          <w:b w:val="false"/>
          <w:i w:val="false"/>
          <w:color w:val="000000"/>
          <w:sz w:val="28"/>
        </w:rPr>
        <w:t>
</w:t>
      </w:r>
      <w:r>
        <w:rPr>
          <w:rFonts w:ascii="Times New Roman"/>
          <w:b/>
          <w:i w:val="false"/>
          <w:color w:val="000080"/>
          <w:sz w:val="28"/>
        </w:rPr>
        <w:t xml:space="preserve">(Транспортный коридор ЦАРЭС 1 [Участки в Жамбылской области] </w:t>
      </w:r>
      <w:r>
        <w:br/>
      </w:r>
      <w:r>
        <w:rPr>
          <w:rFonts w:ascii="Times New Roman"/>
          <w:b w:val="false"/>
          <w:i w:val="false"/>
          <w:color w:val="000000"/>
          <w:sz w:val="28"/>
        </w:rPr>
        <w:t>
</w:t>
      </w:r>
      <w:r>
        <w:rPr>
          <w:rFonts w:ascii="Times New Roman"/>
          <w:b/>
          <w:i w:val="false"/>
          <w:color w:val="000080"/>
          <w:sz w:val="28"/>
        </w:rPr>
        <w:t xml:space="preserve">(Международный транзитный коридор Западная Европа - Западный </w:t>
      </w:r>
      <w:r>
        <w:br/>
      </w:r>
      <w:r>
        <w:rPr>
          <w:rFonts w:ascii="Times New Roman"/>
          <w:b w:val="false"/>
          <w:i w:val="false"/>
          <w:color w:val="000000"/>
          <w:sz w:val="28"/>
        </w:rPr>
        <w:t>
</w:t>
      </w:r>
      <w:r>
        <w:rPr>
          <w:rFonts w:ascii="Times New Roman"/>
          <w:b/>
          <w:i w:val="false"/>
          <w:color w:val="000080"/>
          <w:sz w:val="28"/>
        </w:rPr>
        <w:t xml:space="preserve">Китай) Инвестиционная программа - Проект 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основного займа, основная сумма займа, подлежащая погашению Заемщиком на каждую дату погашения основного долга,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сумма погашения будет модифицирована по необходимости для вычета сумм, описанных в пункте 4 настоящего Приложения, к которым применима Конвертация.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Последовательность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Дата платежа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Очередной взнос </w:t>
            </w:r>
            <w:r>
              <w:br/>
            </w:r>
            <w:r>
              <w:rPr>
                <w:rFonts w:ascii="Times New Roman"/>
                <w:b w:val="false"/>
                <w:i w:val="false"/>
                <w:color w:val="000000"/>
                <w:sz w:val="20"/>
              </w:rPr>
              <w:t xml:space="preserve">
(выраженный в %)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апр 2033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окт 2033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100.000000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Если средства займа не были в полном объеме востребованы до первой даты платежа в погашение основного займа, основная сумма, подлежащая оплате Заемщиком, на каждую дату платежа в погашение основного займа будет определена следующим образом: </w:t>
      </w:r>
      <w:r>
        <w:br/>
      </w:r>
      <w:r>
        <w:rPr>
          <w:rFonts w:ascii="Times New Roman"/>
          <w:b w:val="false"/>
          <w:i w:val="false"/>
          <w:color w:val="000000"/>
          <w:sz w:val="28"/>
        </w:rPr>
        <w:t>
</w:t>
      </w:r>
      <w:r>
        <w:rPr>
          <w:rFonts w:ascii="Times New Roman"/>
          <w:b w:val="false"/>
          <w:i w:val="false"/>
          <w:color w:val="000000"/>
          <w:sz w:val="28"/>
        </w:rPr>
        <w:t xml:space="preserve">
      (a)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пунктом 1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(b) Снятие средств после первой даты платежа в погашение основного займа подлежит погашению в каждую дату платежа в погашение основного займа, после момента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применима Конвертация. </w:t>
      </w:r>
      <w:r>
        <w:br/>
      </w:r>
      <w:r>
        <w:rPr>
          <w:rFonts w:ascii="Times New Roman"/>
          <w:b w:val="false"/>
          <w:i w:val="false"/>
          <w:color w:val="000000"/>
          <w:sz w:val="28"/>
        </w:rPr>
        <w:t>
</w:t>
      </w:r>
      <w:r>
        <w:rPr>
          <w:rFonts w:ascii="Times New Roman"/>
          <w:b w:val="false"/>
          <w:i w:val="false"/>
          <w:color w:val="000000"/>
          <w:sz w:val="28"/>
        </w:rPr>
        <w:t xml:space="preserve">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дни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после снятия средств. </w:t>
      </w:r>
      <w:r>
        <w:br/>
      </w:r>
      <w:r>
        <w:rPr>
          <w:rFonts w:ascii="Times New Roman"/>
          <w:b w:val="false"/>
          <w:i w:val="false"/>
          <w:color w:val="000000"/>
          <w:sz w:val="28"/>
        </w:rPr>
        <w:t>
</w:t>
      </w:r>
      <w:r>
        <w:rPr>
          <w:rFonts w:ascii="Times New Roman"/>
          <w:b w:val="false"/>
          <w:i w:val="false"/>
          <w:color w:val="000000"/>
          <w:sz w:val="28"/>
        </w:rPr>
        <w:t xml:space="preserve">
      4. Вне зависимости от определенного пунктами 1 и 2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которая имела место непосредственно перед Конвертацией на либо: (i) курс обмена валют, отражающий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Инструкцией по Конвертации, на компонент курса обмена валют установленной ставки. </w:t>
      </w:r>
      <w:r>
        <w:br/>
      </w:r>
      <w:r>
        <w:rPr>
          <w:rFonts w:ascii="Times New Roman"/>
          <w:b w:val="false"/>
          <w:i w:val="false"/>
          <w:color w:val="000000"/>
          <w:sz w:val="28"/>
        </w:rPr>
        <w:t>
</w:t>
      </w:r>
      <w:r>
        <w:rPr>
          <w:rFonts w:ascii="Times New Roman"/>
          <w:b w:val="false"/>
          <w:i w:val="false"/>
          <w:color w:val="000000"/>
          <w:sz w:val="28"/>
        </w:rPr>
        <w:t xml:space="preserve">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Распределение и снятие средств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Таблица в настоящем Приложении обуславливает Категории Товаров, Работ, консалтинговых услуг и прочих расходов, финансируемых за счет средств займа, а также распределение сумм займа для каждой из Категорий (в дальнейшем именуется Таблица). (Упоминания в дальнейшем понятий "Категория" или "Категории" в настоящем Приложении относятся к Категории или Категориям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Процентные значения финансирования АБР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Если АБР не согласовано иное, расходы Категорий, перечисленные в Таблице, будут финансироваться за счет средств займа на основе процентных значений, указанных в Таблице.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Перераспределение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Вне зависимости от распределения средств займа и процентов востребования средств, указанных в Таблице, </w:t>
      </w:r>
      <w:r>
        <w:br/>
      </w:r>
      <w:r>
        <w:rPr>
          <w:rFonts w:ascii="Times New Roman"/>
          <w:b w:val="false"/>
          <w:i w:val="false"/>
          <w:color w:val="000000"/>
          <w:sz w:val="28"/>
        </w:rPr>
        <w:t>
</w:t>
      </w:r>
      <w:r>
        <w:rPr>
          <w:rFonts w:ascii="Times New Roman"/>
          <w:b w:val="false"/>
          <w:i w:val="false"/>
          <w:color w:val="000000"/>
          <w:sz w:val="28"/>
        </w:rPr>
        <w:t xml:space="preserve">
      (a) если сумма займа, выделенная для каждой категории является недостаточной для финансирования всех согласованных расходов данной Категории, АБР вправе, при условии уведомления Заемщика, (i) перераспределить средства для данной Категории с целью восполнения нехватки средств, за счет средств, выделенных для другой категории, и по мнению АБР, не нужных для финансирования других расходов, а также (ii) если данное перераспределение не восполняет дефицита, уменьшить процент востребования средств для данных расходов с тем, чтобы дальнейшие востребования для данной Категории производились до тех пор, пока все расходы не были покрыты; а также </w:t>
      </w:r>
      <w:r>
        <w:br/>
      </w:r>
      <w:r>
        <w:rPr>
          <w:rFonts w:ascii="Times New Roman"/>
          <w:b w:val="false"/>
          <w:i w:val="false"/>
          <w:color w:val="000000"/>
          <w:sz w:val="28"/>
        </w:rPr>
        <w:t>
</w:t>
      </w:r>
      <w:r>
        <w:rPr>
          <w:rFonts w:ascii="Times New Roman"/>
          <w:b w:val="false"/>
          <w:i w:val="false"/>
          <w:color w:val="000000"/>
          <w:sz w:val="28"/>
        </w:rPr>
        <w:t xml:space="preserve">
      (b) если сумма займа, выделенная на какую-либо Категорию, превышает все согласованные расходы в данной Категории, АБР вправе, при условии уведомления Заемщика, перераспределить избыточную сумму в пользу другой Категории.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Процедура выплаты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Если АБР не согласовано иное, средства займа для финансирования Работ, консалтинговых услуг и прочих расходов подлежат оплате в соответствии с Руководством по выплате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Условие снятия средств со счета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Вне зависимости от определенного прочими положениями настоящего Соглашения о займе, снятие средств со счета займа не может производиться до тех пор, пока Заемщик не подтвердит АБР, в формате и содержании, удовлетворяющем АБР, что группа КУП-АБР надлежащим образом сформирована, включая назначение Директора проекта, и начала свою работу в соответствии с требованиями АБР, с целью реализации Инвестиционной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Добавление к Приложению 3 </w:t>
      </w:r>
    </w:p>
    <w:p>
      <w:pPr>
        <w:spacing w:after="0"/>
        <w:ind w:left="0"/>
        <w:jc w:val="both"/>
      </w:pPr>
      <w:r>
        <w:rPr>
          <w:rFonts w:ascii="Times New Roman"/>
          <w:b/>
          <w:i w:val="false"/>
          <w:color w:val="000000"/>
          <w:sz w:val="28"/>
        </w:rPr>
        <w:t xml:space="preserve">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273"/>
        <w:gridCol w:w="2373"/>
        <w:gridCol w:w="1253"/>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РАСПРЕДЕЛЕНИЕ И ВОСТРЕБОВАНИЕ СРЕДСТВ ЗАЙМА </w:t>
            </w:r>
            <w:r>
              <w:br/>
            </w:r>
            <w:r>
              <w:rPr>
                <w:rFonts w:ascii="Times New Roman"/>
                <w:b w:val="false"/>
                <w:i w:val="false"/>
                <w:color w:val="000000"/>
                <w:sz w:val="20"/>
              </w:rPr>
              <w:t xml:space="preserve">
(Транспортный коридор ЦАРЭС 1 [Участки в Жамбылской области] </w:t>
            </w:r>
            <w:r>
              <w:br/>
            </w:r>
            <w:r>
              <w:rPr>
                <w:rFonts w:ascii="Times New Roman"/>
                <w:b w:val="false"/>
                <w:i w:val="false"/>
                <w:color w:val="000000"/>
                <w:sz w:val="20"/>
              </w:rPr>
              <w:t xml:space="preserve">
(Международный транзитный коридор Западная Европа - Западный Китай) </w:t>
            </w:r>
            <w:r>
              <w:br/>
            </w:r>
            <w:r>
              <w:rPr>
                <w:rFonts w:ascii="Times New Roman"/>
                <w:b w:val="false"/>
                <w:i w:val="false"/>
                <w:color w:val="000000"/>
                <w:sz w:val="20"/>
              </w:rPr>
              <w:t xml:space="preserve">
Инвестиционная программа - Проект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КАТЕГОРИЯ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ОСНОВА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АБР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Номер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Общая сумма для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АБР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Категория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АБР из Ссудного </w:t>
            </w:r>
            <w:r>
              <w:br/>
            </w:r>
            <w:r>
              <w:rPr>
                <w:rFonts w:ascii="Times New Roman"/>
                <w:b w:val="false"/>
                <w:i w:val="false"/>
                <w:color w:val="000000"/>
                <w:sz w:val="20"/>
              </w:rPr>
              <w:t xml:space="preserve">
счета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Работы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297,000,000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процентов от </w:t>
            </w:r>
            <w:r>
              <w:br/>
            </w:r>
            <w:r>
              <w:rPr>
                <w:rFonts w:ascii="Times New Roman"/>
                <w:b w:val="false"/>
                <w:i w:val="false"/>
                <w:color w:val="000000"/>
                <w:sz w:val="20"/>
              </w:rPr>
              <w:t xml:space="preserve">
общей запрашиваемой </w:t>
            </w:r>
            <w:r>
              <w:br/>
            </w:r>
            <w:r>
              <w:rPr>
                <w:rFonts w:ascii="Times New Roman"/>
                <w:b w:val="false"/>
                <w:i w:val="false"/>
                <w:color w:val="000000"/>
                <w:sz w:val="20"/>
              </w:rPr>
              <w:t xml:space="preserve">
суммы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Консалтинговые </w:t>
            </w:r>
            <w:r>
              <w:br/>
            </w:r>
            <w:r>
              <w:rPr>
                <w:rFonts w:ascii="Times New Roman"/>
                <w:b w:val="false"/>
                <w:i w:val="false"/>
                <w:color w:val="000000"/>
                <w:sz w:val="20"/>
              </w:rPr>
              <w:t xml:space="preserve">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процентов от </w:t>
            </w:r>
            <w:r>
              <w:br/>
            </w:r>
            <w:r>
              <w:rPr>
                <w:rFonts w:ascii="Times New Roman"/>
                <w:b w:val="false"/>
                <w:i w:val="false"/>
                <w:color w:val="000000"/>
                <w:sz w:val="20"/>
              </w:rPr>
              <w:t xml:space="preserve">
общей запрашиваемой </w:t>
            </w:r>
            <w:r>
              <w:br/>
            </w:r>
            <w:r>
              <w:rPr>
                <w:rFonts w:ascii="Times New Roman"/>
                <w:b w:val="false"/>
                <w:i w:val="false"/>
                <w:color w:val="000000"/>
                <w:sz w:val="20"/>
              </w:rPr>
              <w:t xml:space="preserve">
суммы *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Нераспределенные </w:t>
            </w:r>
            <w:r>
              <w:br/>
            </w:r>
            <w:r>
              <w:rPr>
                <w:rFonts w:ascii="Times New Roman"/>
                <w:b w:val="false"/>
                <w:i w:val="false"/>
                <w:color w:val="000000"/>
                <w:sz w:val="20"/>
              </w:rPr>
              <w:t xml:space="preserve">
средства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340,000,000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 включая налоги и пошлины, взимаемые на территории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Закупки Работ и Консалтинговых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 </w:t>
      </w:r>
      <w:r>
        <w:rPr>
          <w:rFonts w:ascii="Times New Roman"/>
          <w:b w:val="false"/>
          <w:i w:val="false"/>
          <w:color w:val="000000"/>
          <w:sz w:val="28"/>
          <w:u w:val="single"/>
        </w:rPr>
        <w:t xml:space="preserve">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Все Работы и Консалтинговые услуги, финансируемые за счет средств займа, подлежат исполнению и контролю в соответствии с Руководством по закупкам, и Руководством по привлечению консультантов, соответственно. </w:t>
      </w:r>
      <w:r>
        <w:br/>
      </w:r>
      <w:r>
        <w:rPr>
          <w:rFonts w:ascii="Times New Roman"/>
          <w:b w:val="false"/>
          <w:i w:val="false"/>
          <w:color w:val="000000"/>
          <w:sz w:val="28"/>
        </w:rPr>
        <w:t>
</w:t>
      </w:r>
      <w:r>
        <w:rPr>
          <w:rFonts w:ascii="Times New Roman"/>
          <w:b w:val="false"/>
          <w:i w:val="false"/>
          <w:color w:val="000000"/>
          <w:sz w:val="28"/>
        </w:rPr>
        <w:t xml:space="preserve">
      2. Все термины, используемые и не определенные в настоящем Соглашении о займе, определяются в Руководстве по закупкам и (или) Руководстве по привлечению консультантов в соответствующих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 xml:space="preserve">Закупка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Если АБР не согласовано иное, Работы должны приобретаться на основе процедуры закупки, изложенной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Международные конкурсные торги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Процедура закупок, помимо прочих условий, подлежит исполнению в соответствии с детальной договоренностью 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sz w:val="28"/>
          <w:u w:val="single"/>
        </w:rPr>
        <w:t xml:space="preserve">Условие заключения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Земщик обязуется убедиться в том, что контракт на выполнение работ в рамках проекта не заключается до тех пор, пока ПВЗП в рамках проекта не подготовлен Заемщиком, если это необходимо по результатам проектирования, и не одобрен АБР в соответствии с пунктом 11 Приложения 5 настоящего Соглашения о займе.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val="false"/>
          <w:color w:val="000000"/>
          <w:sz w:val="28"/>
          <w:u w:val="single"/>
        </w:rPr>
        <w:t xml:space="preserve">Выбор консалтинговых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Выбор основывается на оценке качества и цены услуг. Если АБР не указано иное, Заемщик обязуется поручить ИА выбрать и нанять консалтинговые услуги, основываясь на оценке качества и цены услуг. В рамках Проекта предполагается привлечение следующих консультационных услуг: (i) управление проектом, (ii) надзор за строительством, (iii) совершенствование системы управления автомобильными дорогами и (iv) разработка Интеллектуальной транспортной системы. Заемщик вправе изменить метод привлечения консультантов или их проектное задание с предварительным согласованием с АБР, при этом все изменения должны отражаться в дополнениях к Плану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E. </w:t>
      </w:r>
      <w:r>
        <w:rPr>
          <w:rFonts w:ascii="Times New Roman"/>
          <w:b w:val="false"/>
          <w:i w:val="false"/>
          <w:color w:val="000000"/>
          <w:sz w:val="28"/>
          <w:u w:val="single"/>
        </w:rPr>
        <w:t xml:space="preserve">Права на промышленную и интеллектуальную собственность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 Заемщик обязуется поручить ИА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нарушают права третьих лиц на промышленную или интеллектуальную собственность. </w:t>
      </w:r>
      <w:r>
        <w:br/>
      </w:r>
      <w:r>
        <w:rPr>
          <w:rFonts w:ascii="Times New Roman"/>
          <w:b w:val="false"/>
          <w:i w:val="false"/>
          <w:color w:val="000000"/>
          <w:sz w:val="28"/>
        </w:rPr>
        <w:t>
</w:t>
      </w:r>
      <w:r>
        <w:rPr>
          <w:rFonts w:ascii="Times New Roman"/>
          <w:b w:val="false"/>
          <w:i w:val="false"/>
          <w:color w:val="000000"/>
          <w:sz w:val="28"/>
        </w:rPr>
        <w:t xml:space="preserve">
      (b) Заемщик обязуется поручить ИА убедиться в том, что все контракты по закупкам Работ содержат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 </w:t>
      </w:r>
      <w:r>
        <w:br/>
      </w:r>
      <w:r>
        <w:rPr>
          <w:rFonts w:ascii="Times New Roman"/>
          <w:b w:val="false"/>
          <w:i w:val="false"/>
          <w:color w:val="000000"/>
          <w:sz w:val="28"/>
        </w:rPr>
        <w:t>
</w:t>
      </w:r>
      <w:r>
        <w:rPr>
          <w:rFonts w:ascii="Times New Roman"/>
          <w:b w:val="false"/>
          <w:i w:val="false"/>
          <w:color w:val="000000"/>
          <w:sz w:val="28"/>
        </w:rPr>
        <w:t xml:space="preserve">
       7. Заемщик обязуется поручить ИА убедиться в том, что все контракты с консультантами, финансируемыми АБР, содержат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права третьих лиц на промышленную или интеллектуальную собственность.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Реализация проекта и эксплуатация проектных объектов; </w:t>
      </w:r>
      <w:r>
        <w:br/>
      </w:r>
      <w:r>
        <w:rPr>
          <w:rFonts w:ascii="Times New Roman"/>
          <w:b w:val="false"/>
          <w:i w:val="false"/>
          <w:color w:val="000000"/>
          <w:sz w:val="28"/>
        </w:rPr>
        <w:t>
</w:t>
      </w:r>
      <w:r>
        <w:rPr>
          <w:rFonts w:ascii="Times New Roman"/>
          <w:b/>
          <w:i w:val="false"/>
          <w:color w:val="000080"/>
          <w:sz w:val="28"/>
        </w:rPr>
        <w:t xml:space="preserve">Финансовые вопросы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Порядок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Заемщик обязуется назначить МТК в качестве ИА, ответственного за общее исполнение проекта и осуществляющего связь с АБР и прочими МФИ, вовлеченными в реконструкцию Транспортного коридора ЦАРЭС 1. Заемщик обязуется поручить МТК назначить КАД в качестве организации, ответственной за реализацию проекта. МТК обязуется назначить из состава своего квалифицированного персонала Директора проекта с опытом работы в качестве руководителя проекта, удовлетворяющем АБР. Директор проекта принимает на себя ответственность за каждодневное исполнение проекта и Инвестиционной Программы, включая подготовку проекта, его исполнение, мониторинг и отчетность. </w:t>
      </w:r>
      <w:r>
        <w:br/>
      </w:r>
      <w:r>
        <w:rPr>
          <w:rFonts w:ascii="Times New Roman"/>
          <w:b w:val="false"/>
          <w:i w:val="false"/>
          <w:color w:val="000000"/>
          <w:sz w:val="28"/>
        </w:rPr>
        <w:t>
</w:t>
      </w:r>
      <w:r>
        <w:rPr>
          <w:rFonts w:ascii="Times New Roman"/>
          <w:b w:val="false"/>
          <w:i w:val="false"/>
          <w:color w:val="000000"/>
          <w:sz w:val="28"/>
        </w:rPr>
        <w:t xml:space="preserve">
      2. Заемщик обязуется поручить МТК убедиться в том, что (а) группа КУП-АБР своевременно сформирована, и (b) Директор проекта обеспечен надлежащей поддержкой в течение периода исполнения проекта со стороны персонала МТК, ответственного за инженерные, финансовые, юридические и снабженческие вопросы. </w:t>
      </w:r>
      <w:r>
        <w:br/>
      </w:r>
      <w:r>
        <w:rPr>
          <w:rFonts w:ascii="Times New Roman"/>
          <w:b w:val="false"/>
          <w:i w:val="false"/>
          <w:color w:val="000000"/>
          <w:sz w:val="28"/>
        </w:rPr>
        <w:t>
</w:t>
      </w:r>
      <w:r>
        <w:rPr>
          <w:rFonts w:ascii="Times New Roman"/>
          <w:b w:val="false"/>
          <w:i w:val="false"/>
          <w:color w:val="000000"/>
          <w:sz w:val="28"/>
        </w:rPr>
        <w:t xml:space="preserve">
      3. Заемщик обязуется поручить МТК убедиться в том, что Директор проекта получает необходимую поддержку от КУП-АБР при исполнении проекта. </w:t>
      </w:r>
      <w:r>
        <w:br/>
      </w:r>
      <w:r>
        <w:rPr>
          <w:rFonts w:ascii="Times New Roman"/>
          <w:b w:val="false"/>
          <w:i w:val="false"/>
          <w:color w:val="000000"/>
          <w:sz w:val="28"/>
        </w:rPr>
        <w:t>
</w:t>
      </w:r>
      <w:r>
        <w:rPr>
          <w:rFonts w:ascii="Times New Roman"/>
          <w:b w:val="false"/>
          <w:i w:val="false"/>
          <w:color w:val="000000"/>
          <w:sz w:val="28"/>
        </w:rPr>
        <w:t xml:space="preserve">
      4. Заемщик обязуется поручить МТК убедиться в том, что группа КУП-ВБ своевременно сформирована для координации всех действий в рамках реконструкции Транспортного коридора ЦАРЭС 1 и предоставляет необходимую поддержку в области соответствия технике безопасности, юридического и финансового управления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Софинансирование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Не ущемляя общего смысла Раздела 4.02 настоящего Соглашения о займе, Заемщик обязуется предоставить все средства софинансирования, необходимые для своевременного и эффективного исполнения проекта и ПРАД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поручить МТК включить все изменения в потребности в финансировании проекта и Инвестиционной программы в его ежегодные программы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Финансирование развития и содержания автодорог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Заемщик обязуется поручить МТК (а) выделить бюджет для текущего содержания в соответствии с Планом развития дорог ПРАД; и (b) убедиться в том, что для каждого фискального года после 2012 года бюджет увеличен на не менее, чем годовой уровень инфляции, при условии, что стабильный фискальный баланс соблюдается при любых обстоятельствах. Заемщик обязуется проводить аудит таких расходов ежегодно и предоставлять аудиторские отчеты АБР по требованию.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Качество строительных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Заемщик обязуется поручить МТК убедиться в том, что (а) проект исполняется и соответствии с необходимыми техническими спецификациями и планами и что надзор за строительством, контроль качества и управление проектом производятся в соответствии с применимыми стандартами и лучшим международным опытом; и (b) прочие участки дороги, относящиеся к Плану развития дорог содержатся cогласно соответствующим стандартам и лучшему международному опыту.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Обеспечение безопасности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Заемщик обязуется поручить МТК (а) убедиться в том, что все контракты не строительные работы включают в себя обязательство подрядчика выполнять меры по обеспечению безопасности дорожного движения; и (b) осуществлять мониторинг уровня аварийности и интенсивности движения после начала эксплуатации проектной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Окружающая среда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Заемщик обязуется убедиться в том, что (а) проектные решения, строительство, эксплуатация и содержание Проектных объектов производятся в соответствии с </w:t>
      </w:r>
      <w:r>
        <w:rPr>
          <w:rFonts w:ascii="Times New Roman"/>
          <w:b w:val="false"/>
          <w:i/>
          <w:color w:val="000000"/>
          <w:sz w:val="28"/>
        </w:rPr>
        <w:t xml:space="preserve">Экологической политикой </w:t>
      </w:r>
      <w:r>
        <w:rPr>
          <w:rFonts w:ascii="Times New Roman"/>
          <w:b w:val="false"/>
          <w:i w:val="false"/>
          <w:color w:val="000000"/>
          <w:sz w:val="28"/>
        </w:rPr>
        <w:t xml:space="preserve">АБР (2002), природоохранным законодательством Заемщика, ООВОС, ЕОВОС, и ПОВОС; и (b) потенциальное вредное воздействие проекта на окружающую среду снижено за счет принятия мер минимизации воздействия на окружающую среду и мониторинга, в соответствии с ПООС.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Заемщик обязуется убедиться в том, что (а) ПООС обновлен до выдачи уведомления о начале строительных работ; (b) достаточные ресурсы предоставлены для исполнения, мониторинга и отчетности выполнения ПООС; (с) полугодовые экологические отчеты подготовлены и предоставлены в АБР Директором проекта, в течение трех (3) месяцев после каждого периода, по которому составляется отчет; (d) отчеты включают </w:t>
      </w:r>
      <w:r>
        <w:rPr>
          <w:rFonts w:ascii="Times New Roman"/>
          <w:b w:val="false"/>
          <w:i/>
          <w:color w:val="000000"/>
          <w:sz w:val="28"/>
          <w:u w:val="single"/>
        </w:rPr>
        <w:t xml:space="preserve">помимо прочего </w:t>
      </w:r>
      <w:r>
        <w:rPr>
          <w:rFonts w:ascii="Times New Roman"/>
          <w:b w:val="false"/>
          <w:i w:val="false"/>
          <w:color w:val="000000"/>
          <w:sz w:val="28"/>
        </w:rPr>
        <w:t xml:space="preserve">, отчет достижений в выполнении ПООС, проблемы и меры по решению данных проблем; (е) детальный инженерный план и контракты на строительные работы в рамках проекта включают необходимые экологические меры, обозначенные в ПООС; и (f) подрядчики строительных работ контролируются в целях обеспечения соответствия требованиям ПОВОС и ПООС.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Приоретение земельных участков и переселение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Заемщик обязуется убедиться в том, что, в максимально возможной степени, Проект не потребует выкупа земельных участков или недобровольного переселения жителей, и все работы будут производиться в рамках существующих прав прокладки дорог. Однако, если по детальному плану Проекта, необходимы дополнительные земельные участки, ведущие к выкупу земли, переселению жителей или потере активов, Заемщик обязуется поручить МТК убедиться в том, что Проект исполняется в соответствии с действующим законодательством Заемщика, Политикой АБР о недобровольном переселении (1995) и ОВЗП включая, </w:t>
      </w:r>
      <w:r>
        <w:rPr>
          <w:rFonts w:ascii="Times New Roman"/>
          <w:b w:val="false"/>
          <w:i/>
          <w:color w:val="000000"/>
          <w:sz w:val="28"/>
          <w:u w:val="single"/>
        </w:rPr>
        <w:t xml:space="preserve">помимо прочего </w:t>
      </w:r>
      <w:r>
        <w:rPr>
          <w:rFonts w:ascii="Times New Roman"/>
          <w:b w:val="false"/>
          <w:i w:val="false"/>
          <w:color w:val="000000"/>
          <w:sz w:val="28"/>
        </w:rPr>
        <w:t xml:space="preserve">следующие положения: </w:t>
      </w:r>
      <w:r>
        <w:br/>
      </w:r>
      <w:r>
        <w:rPr>
          <w:rFonts w:ascii="Times New Roman"/>
          <w:b w:val="false"/>
          <w:i w:val="false"/>
          <w:color w:val="000000"/>
          <w:sz w:val="28"/>
        </w:rPr>
        <w:t>
</w:t>
      </w:r>
      <w:r>
        <w:rPr>
          <w:rFonts w:ascii="Times New Roman"/>
          <w:b w:val="false"/>
          <w:i w:val="false"/>
          <w:color w:val="000000"/>
          <w:sz w:val="28"/>
        </w:rPr>
        <w:t xml:space="preserve">
      (а) ПВЗП должен быть подготовлен в процессе совещания, и </w:t>
      </w:r>
      <w:r>
        <w:br/>
      </w:r>
      <w:r>
        <w:rPr>
          <w:rFonts w:ascii="Times New Roman"/>
          <w:b w:val="false"/>
          <w:i w:val="false"/>
          <w:color w:val="000000"/>
          <w:sz w:val="28"/>
        </w:rPr>
        <w:t xml:space="preserve">
          доведения до сведения затронутых жителей в соответствии с </w:t>
      </w:r>
      <w:r>
        <w:br/>
      </w:r>
      <w:r>
        <w:rPr>
          <w:rFonts w:ascii="Times New Roman"/>
          <w:b w:val="false"/>
          <w:i w:val="false"/>
          <w:color w:val="000000"/>
          <w:sz w:val="28"/>
        </w:rPr>
        <w:t xml:space="preserve">
          положениями ОВЗП; </w:t>
      </w:r>
      <w:r>
        <w:br/>
      </w:r>
      <w:r>
        <w:rPr>
          <w:rFonts w:ascii="Times New Roman"/>
          <w:b w:val="false"/>
          <w:i w:val="false"/>
          <w:color w:val="000000"/>
          <w:sz w:val="28"/>
        </w:rPr>
        <w:t>
</w:t>
      </w:r>
      <w:r>
        <w:rPr>
          <w:rFonts w:ascii="Times New Roman"/>
          <w:b w:val="false"/>
          <w:i w:val="false"/>
          <w:color w:val="000000"/>
          <w:sz w:val="28"/>
        </w:rPr>
        <w:t xml:space="preserve">
      (b) ПВЗП необходимо предоставить на рассмотрение и утверждение </w:t>
      </w:r>
      <w:r>
        <w:br/>
      </w:r>
      <w:r>
        <w:rPr>
          <w:rFonts w:ascii="Times New Roman"/>
          <w:b w:val="false"/>
          <w:i w:val="false"/>
          <w:color w:val="000000"/>
          <w:sz w:val="28"/>
        </w:rPr>
        <w:t xml:space="preserve">
          АБР до заключения каких-либо контрактов на строительные </w:t>
      </w:r>
      <w:r>
        <w:br/>
      </w:r>
      <w:r>
        <w:rPr>
          <w:rFonts w:ascii="Times New Roman"/>
          <w:b w:val="false"/>
          <w:i w:val="false"/>
          <w:color w:val="000000"/>
          <w:sz w:val="28"/>
        </w:rPr>
        <w:t xml:space="preserve">
          работы; </w:t>
      </w:r>
      <w:r>
        <w:br/>
      </w:r>
      <w:r>
        <w:rPr>
          <w:rFonts w:ascii="Times New Roman"/>
          <w:b w:val="false"/>
          <w:i w:val="false"/>
          <w:color w:val="000000"/>
          <w:sz w:val="28"/>
        </w:rPr>
        <w:t>
</w:t>
      </w:r>
      <w:r>
        <w:rPr>
          <w:rFonts w:ascii="Times New Roman"/>
          <w:b w:val="false"/>
          <w:i w:val="false"/>
          <w:color w:val="000000"/>
          <w:sz w:val="28"/>
        </w:rPr>
        <w:t xml:space="preserve">
      (c) Все земельные участки и акты отвода земель, необходимые для </w:t>
      </w:r>
      <w:r>
        <w:br/>
      </w:r>
      <w:r>
        <w:rPr>
          <w:rFonts w:ascii="Times New Roman"/>
          <w:b w:val="false"/>
          <w:i w:val="false"/>
          <w:color w:val="000000"/>
          <w:sz w:val="28"/>
        </w:rPr>
        <w:t xml:space="preserve">
          проекта, должны быть приобретены своевременно; </w:t>
      </w:r>
      <w:r>
        <w:br/>
      </w:r>
      <w:r>
        <w:rPr>
          <w:rFonts w:ascii="Times New Roman"/>
          <w:b w:val="false"/>
          <w:i w:val="false"/>
          <w:color w:val="000000"/>
          <w:sz w:val="28"/>
        </w:rPr>
        <w:t>
</w:t>
      </w:r>
      <w:r>
        <w:rPr>
          <w:rFonts w:ascii="Times New Roman"/>
          <w:b w:val="false"/>
          <w:i w:val="false"/>
          <w:color w:val="000000"/>
          <w:sz w:val="28"/>
        </w:rPr>
        <w:t xml:space="preserve">
      (d) Компенсации и содействие в переселении необходимо </w:t>
      </w:r>
      <w:r>
        <w:br/>
      </w:r>
      <w:r>
        <w:rPr>
          <w:rFonts w:ascii="Times New Roman"/>
          <w:b w:val="false"/>
          <w:i w:val="false"/>
          <w:color w:val="000000"/>
          <w:sz w:val="28"/>
        </w:rPr>
        <w:t xml:space="preserve">
          предоставить затронутым лицам до момента их выселения; </w:t>
      </w:r>
      <w:r>
        <w:br/>
      </w:r>
      <w:r>
        <w:rPr>
          <w:rFonts w:ascii="Times New Roman"/>
          <w:b w:val="false"/>
          <w:i w:val="false"/>
          <w:color w:val="000000"/>
          <w:sz w:val="28"/>
        </w:rPr>
        <w:t>
</w:t>
      </w:r>
      <w:r>
        <w:rPr>
          <w:rFonts w:ascii="Times New Roman"/>
          <w:b w:val="false"/>
          <w:i w:val="false"/>
          <w:color w:val="000000"/>
          <w:sz w:val="28"/>
        </w:rPr>
        <w:t xml:space="preserve">
      (e) Эффективные механизмы должны работать в соответствии с ПВЗП </w:t>
      </w:r>
      <w:r>
        <w:br/>
      </w:r>
      <w:r>
        <w:rPr>
          <w:rFonts w:ascii="Times New Roman"/>
          <w:b w:val="false"/>
          <w:i w:val="false"/>
          <w:color w:val="000000"/>
          <w:sz w:val="28"/>
        </w:rPr>
        <w:t xml:space="preserve">
          в целях помочь затронутым лицам разрешить вопросы и жалобы, </w:t>
      </w:r>
      <w:r>
        <w:br/>
      </w:r>
      <w:r>
        <w:rPr>
          <w:rFonts w:ascii="Times New Roman"/>
          <w:b w:val="false"/>
          <w:i w:val="false"/>
          <w:color w:val="000000"/>
          <w:sz w:val="28"/>
        </w:rPr>
        <w:t xml:space="preserve">
          при их возникновении, своевременно; </w:t>
      </w:r>
      <w:r>
        <w:br/>
      </w:r>
      <w:r>
        <w:rPr>
          <w:rFonts w:ascii="Times New Roman"/>
          <w:b w:val="false"/>
          <w:i w:val="false"/>
          <w:color w:val="000000"/>
          <w:sz w:val="28"/>
        </w:rPr>
        <w:t>
</w:t>
      </w:r>
      <w:r>
        <w:rPr>
          <w:rFonts w:ascii="Times New Roman"/>
          <w:b w:val="false"/>
          <w:i w:val="false"/>
          <w:color w:val="000000"/>
          <w:sz w:val="28"/>
        </w:rPr>
        <w:t xml:space="preserve">
      (f) Необходимо предоставить соответствующий персонал и ресурсы </w:t>
      </w:r>
      <w:r>
        <w:br/>
      </w:r>
      <w:r>
        <w:rPr>
          <w:rFonts w:ascii="Times New Roman"/>
          <w:b w:val="false"/>
          <w:i w:val="false"/>
          <w:color w:val="000000"/>
          <w:sz w:val="28"/>
        </w:rPr>
        <w:t xml:space="preserve">
          в составе КУП-ВБ для осуществления независимого мониторинга </w:t>
      </w:r>
      <w:r>
        <w:br/>
      </w:r>
      <w:r>
        <w:rPr>
          <w:rFonts w:ascii="Times New Roman"/>
          <w:b w:val="false"/>
          <w:i w:val="false"/>
          <w:color w:val="000000"/>
          <w:sz w:val="28"/>
        </w:rPr>
        <w:t xml:space="preserve">
          исполнения ПВЗП и предоставления результатов в АБР раз в </w:t>
      </w:r>
      <w:r>
        <w:br/>
      </w:r>
      <w:r>
        <w:rPr>
          <w:rFonts w:ascii="Times New Roman"/>
          <w:b w:val="false"/>
          <w:i w:val="false"/>
          <w:color w:val="000000"/>
          <w:sz w:val="28"/>
        </w:rPr>
        <w:t xml:space="preserve">
          полугодие. Полугодовые отчеты необходимо предоставлять в </w:t>
      </w:r>
      <w:r>
        <w:br/>
      </w:r>
      <w:r>
        <w:rPr>
          <w:rFonts w:ascii="Times New Roman"/>
          <w:b w:val="false"/>
          <w:i w:val="false"/>
          <w:color w:val="000000"/>
          <w:sz w:val="28"/>
        </w:rPr>
        <w:t xml:space="preserve">
          течение трех (3) месяцев после окончания каждого периода, </w:t>
      </w:r>
      <w:r>
        <w:br/>
      </w:r>
      <w:r>
        <w:rPr>
          <w:rFonts w:ascii="Times New Roman"/>
          <w:b w:val="false"/>
          <w:i w:val="false"/>
          <w:color w:val="000000"/>
          <w:sz w:val="28"/>
        </w:rPr>
        <w:t xml:space="preserve">
          по которому составляется отчет. Внутренний мониторинг </w:t>
      </w:r>
      <w:r>
        <w:br/>
      </w:r>
      <w:r>
        <w:rPr>
          <w:rFonts w:ascii="Times New Roman"/>
          <w:b w:val="false"/>
          <w:i w:val="false"/>
          <w:color w:val="000000"/>
          <w:sz w:val="28"/>
        </w:rPr>
        <w:t xml:space="preserve">
          должен исполняться районной администрацией; </w:t>
      </w:r>
      <w:r>
        <w:br/>
      </w:r>
      <w:r>
        <w:rPr>
          <w:rFonts w:ascii="Times New Roman"/>
          <w:b w:val="false"/>
          <w:i w:val="false"/>
          <w:color w:val="000000"/>
          <w:sz w:val="28"/>
        </w:rPr>
        <w:t>
</w:t>
      </w:r>
      <w:r>
        <w:rPr>
          <w:rFonts w:ascii="Times New Roman"/>
          <w:b w:val="false"/>
          <w:i w:val="false"/>
          <w:color w:val="000000"/>
          <w:sz w:val="28"/>
        </w:rPr>
        <w:t xml:space="preserve">
      (g) Если в период исполнения ПВЗП производятся изменения </w:t>
      </w:r>
      <w:r>
        <w:br/>
      </w:r>
      <w:r>
        <w:rPr>
          <w:rFonts w:ascii="Times New Roman"/>
          <w:b w:val="false"/>
          <w:i w:val="false"/>
          <w:color w:val="000000"/>
          <w:sz w:val="28"/>
        </w:rPr>
        <w:t xml:space="preserve">
          местности, разбивка дорог либо дополнительные воздействия </w:t>
      </w:r>
      <w:r>
        <w:br/>
      </w:r>
      <w:r>
        <w:rPr>
          <w:rFonts w:ascii="Times New Roman"/>
          <w:b w:val="false"/>
          <w:i w:val="false"/>
          <w:color w:val="000000"/>
          <w:sz w:val="28"/>
        </w:rPr>
        <w:t xml:space="preserve">
          на окружающую среду и переселение, необходимо внести </w:t>
      </w:r>
      <w:r>
        <w:br/>
      </w:r>
      <w:r>
        <w:rPr>
          <w:rFonts w:ascii="Times New Roman"/>
          <w:b w:val="false"/>
          <w:i w:val="false"/>
          <w:color w:val="000000"/>
          <w:sz w:val="28"/>
        </w:rPr>
        <w:t xml:space="preserve">
          дополнения в ПВЗП и получить одобрение АБР и </w:t>
      </w:r>
      <w:r>
        <w:br/>
      </w:r>
      <w:r>
        <w:rPr>
          <w:rFonts w:ascii="Times New Roman"/>
          <w:b w:val="false"/>
          <w:i w:val="false"/>
          <w:color w:val="000000"/>
          <w:sz w:val="28"/>
        </w:rPr>
        <w:t xml:space="preserve">
          соответствующих правительственных органов до последующей </w:t>
      </w:r>
      <w:r>
        <w:br/>
      </w:r>
      <w:r>
        <w:rPr>
          <w:rFonts w:ascii="Times New Roman"/>
          <w:b w:val="false"/>
          <w:i w:val="false"/>
          <w:color w:val="000000"/>
          <w:sz w:val="28"/>
        </w:rPr>
        <w:t xml:space="preserve">
          реализации ПВЗП.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Выполнение контрактов на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Заемщик обязуется убедиться в том, что после заключения контрактов, уведомления о начале работ подрядчику на соответствующие секции и участки проектной дороги не выдаются до тех пор, пока не будут соблюдены соответствующие положения ПВЗП (включая в частности своевременную выплату компенсаций затронутым лицам), а также положения ПОВОС и ПООС.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Охрана труда, здоровья, обеспечение гендерного равенства и социальная </w:t>
      </w:r>
      <w:r>
        <w:br/>
      </w:r>
      <w:r>
        <w:rPr>
          <w:rFonts w:ascii="Times New Roman"/>
          <w:b w:val="false"/>
          <w:i w:val="false"/>
          <w:color w:val="000000"/>
          <w:sz w:val="28"/>
        </w:rPr>
        <w:t>
</w:t>
      </w:r>
      <w:r>
        <w:rPr>
          <w:rFonts w:ascii="Times New Roman"/>
          <w:b w:val="false"/>
          <w:i w:val="false"/>
          <w:color w:val="000000"/>
          <w:sz w:val="28"/>
          <w:u w:val="single"/>
        </w:rPr>
        <w:t xml:space="preserve">защита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Заемщик гарантирует, что МТК включит (а) особые положения в тендерную документацию, чтобы обеспечить соблюдение строительными подрядчиками (i) применимых основных стандартов Кодекса о труде, трудового законодательства и применения соответствующих норм безопасности труда на рабочем месте; (ii) равной оплаты мужчинам и женщинам за равный труд; (iii) неиспользование детского труда при строительстве и содержании дорог; и (iv) в возможном объеме максимальное трудоустройство местного малоимущего населения и безработных лиц в целях реализации проекта при условии эффективного и адекватного выполнения требований к работе, и (б) соответствующие организации, например, НПО, будут осуществлять распространение информации о рисках заболеваний, распространяющихся половым путем, включая ВИЧ/СПИД, среди работников подрядных организаций, привлеченных в рамках данного Проекта и среди местных жителей, проживающих в непосредственной близости к дороге данного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Реформа автодорожной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Заемщик обязуется убедиться в том, что (а) должным образом выполняется план политики относительно дорожного сектора, определяющий действия, направленные на развитие, согласно Таблице 1 Приложения 1 РСФ (включая рациональное руководство и отчетность, стабильное финансирование, план политики и управления, реформы управления и развитие производственных возможностей, дорожную безопасность, стабильность дорожного сектора, и эксплуатицию дорожного транспорта и его управление); (b) АБР своевременно уведомляются о любых изменениях, имеющих влияние на проект, план его Финансирования и ход его исполнения; и (с) проводятся необходимые совещания с AБР в форме диалога по данным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Борьба с коррупцией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Заемщик обязуется следовать </w:t>
      </w:r>
      <w:r>
        <w:rPr>
          <w:rFonts w:ascii="Times New Roman"/>
          <w:b w:val="false"/>
          <w:i/>
          <w:color w:val="000000"/>
          <w:sz w:val="28"/>
        </w:rPr>
        <w:t xml:space="preserve">Политике АБР по борьбе с коррупцией </w:t>
      </w:r>
      <w:r>
        <w:rPr>
          <w:rFonts w:ascii="Times New Roman"/>
          <w:b w:val="false"/>
          <w:i w:val="false"/>
          <w:color w:val="000000"/>
          <w:sz w:val="28"/>
        </w:rPr>
        <w:t xml:space="preserve">(1998, с поправками на настоящее время). Заемщик в соответствии с его обязательством следовать принципам рационального управления, отчетности и прозрачности, соглашается (а)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такому расследованию путем оказания необходимой поддержки, включая обеспечение доступа к соответствующим отчетам и записям, по мере необходимости, для проведения расследования. А также Заемщик обязуется (а) проводить периодические проверки действий подрядчиков, относящихся к исполнению средств займа и выплатам по нему; (b) обеспечить, чтобы все контракты, финансируемые АБР в рамках проекта, включали положения, обуславливающие право АБР проводить аудит и производить проверку всех отчетов, записей и счетов всех подрядчиков, поставщиков и консультантов, а также прочих лиц, оказывающих услуги в рамках проекта; (с) обеспечить,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 и (d) обеспечить выполнение плана борьбы с коррупцией, согласованного с АБР.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План мероприятий по Финансовому управлению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Заемщик обязуется поручить МТК выполнение плана действий по финансовому управлению, таким образом, чтобы (а) в течение шести (6) месяцев с Даты вступления в силу функции финансового управления проектом были переданы соответствующему подразделению в составе Департамента финансов МТК, укомплектованному персоналом с соответствующими квалификациями; (b) в течение девяти (9) месяцев с Даты вступления в силу необходимо разработать и утвердить руководство по финансовым процедурам; начать подготовку персонала по финансовому управлению проектом; установить автоматизированную систему бухгалтерии, способную фиксировать и составлять отчетность на ежегодной основе всех транзакций проекта и составлять промежуточные финансовые отчеты.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Система мониторинга функционирования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Заемщик обязуется поручить МТК внедрение СМФП в течение шести (6) месяцев с Даты вступления в силу и сбор исходных данных для мониторинга функционирования. Ключевые показатели и допущения, перечисленные на уровне воздействия и результатов в проектном плане и плане мониторинга составляют основную информацию, необходимую для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Обзор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Заемщик обязуется поручить МТК в лице Директора проекта предоставлять в АБР: (i) квартальные отчеты о статусе проекта в течение двух (2) недель после окончания отчетного квартала и (ii) прочих отчетов о функционировании и мониторинге проекта один раз в полугодие. Сводный промежуточный обзор необходимо проводить через два (2) года после вступления в силу. Промежуточный обзор должен охватывать инженерные, экологические и социальные меры безопасности проекта, соответствие условиям займа и обязательствам, изложенным в РСФ. Обзор предусматривает любые необходимые промежуточные поправки для обеспечения успешного выполнения и достижения поставленных целей в рамках проекта и Инвестиционной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Настоящим удостоверяю, что данный перевод соответствует тексту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 на английском языке, подписанного в городе Астане 30 марта 2009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Управления </w:t>
      </w:r>
      <w:r>
        <w:br/>
      </w:r>
      <w:r>
        <w:rPr>
          <w:rFonts w:ascii="Times New Roman"/>
          <w:b w:val="false"/>
          <w:i w:val="false"/>
          <w:color w:val="000000"/>
          <w:sz w:val="28"/>
        </w:rPr>
        <w:t xml:space="preserve">
       </w:t>
      </w:r>
      <w:r>
        <w:rPr>
          <w:rFonts w:ascii="Times New Roman"/>
          <w:b w:val="false"/>
          <w:i/>
          <w:color w:val="000000"/>
          <w:sz w:val="28"/>
        </w:rPr>
        <w:t xml:space="preserve">Департамента кадрового </w:t>
      </w:r>
      <w:r>
        <w:br/>
      </w:r>
      <w:r>
        <w:rPr>
          <w:rFonts w:ascii="Times New Roman"/>
          <w:b w:val="false"/>
          <w:i w:val="false"/>
          <w:color w:val="000000"/>
          <w:sz w:val="28"/>
        </w:rPr>
        <w:t xml:space="preserve">
       </w:t>
      </w:r>
      <w:r>
        <w:rPr>
          <w:rFonts w:ascii="Times New Roman"/>
          <w:b w:val="false"/>
          <w:i/>
          <w:color w:val="000000"/>
          <w:sz w:val="28"/>
        </w:rPr>
        <w:t xml:space="preserve">обеспечения и документооборота </w:t>
      </w:r>
      <w:r>
        <w:br/>
      </w:r>
      <w:r>
        <w:rPr>
          <w:rFonts w:ascii="Times New Roman"/>
          <w:b w:val="false"/>
          <w:i w:val="false"/>
          <w:color w:val="000000"/>
          <w:sz w:val="28"/>
        </w:rPr>
        <w:t xml:space="preserve">
       </w:t>
      </w:r>
      <w:r>
        <w:rPr>
          <w:rFonts w:ascii="Times New Roman"/>
          <w:b w:val="false"/>
          <w:i/>
          <w:color w:val="000000"/>
          <w:sz w:val="28"/>
        </w:rPr>
        <w:t xml:space="preserve">Министерства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Н. Шабанов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