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c57b" w14:textId="6edc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Организации Объединенных Наций о морской перевозке грузов 1978 года</w:t>
      </w:r>
    </w:p>
    <w:p>
      <w:pPr>
        <w:spacing w:after="0"/>
        <w:ind w:left="0"/>
        <w:jc w:val="both"/>
      </w:pPr>
      <w:r>
        <w:rPr>
          <w:rFonts w:ascii="Times New Roman"/>
          <w:b w:val="false"/>
          <w:i w:val="false"/>
          <w:color w:val="000000"/>
          <w:sz w:val="28"/>
        </w:rPr>
        <w:t>Закон Республики Казахстан от 23 апреля 2008 года N 28-IV</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Конвенцию Организации Объединенных Наций о морской перевозке грузов 1978 года, совершенную в Гамбурге 31 марта 1978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ОРГАНИЗАЦИИ ОБЪЕДИНЕННЫХ НАЦИЙ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МОРСКОЙ ПЕРЕВОЗКЕ ГРУЗОВ 1978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Преамбула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ГОСУДАРСТВА-СТОРОНЫ НАСТОЯЩЕЙ КОНВЕНЦИИ,
</w:t>
      </w:r>
      <w:r>
        <w:br/>
      </w:r>
      <w:r>
        <w:rPr>
          <w:rFonts w:ascii="Times New Roman"/>
          <w:b w:val="false"/>
          <w:i w:val="false"/>
          <w:color w:val="000000"/>
          <w:sz w:val="28"/>
        </w:rPr>
        <w:t>
      ПРИЗНАВАЯ желательным установить посредством соглашения некоторые правила, касающиеся морской перевозки грузов,
</w:t>
      </w:r>
      <w:r>
        <w:br/>
      </w:r>
      <w:r>
        <w:rPr>
          <w:rFonts w:ascii="Times New Roman"/>
          <w:b w:val="false"/>
          <w:i w:val="false"/>
          <w:color w:val="000000"/>
          <w:sz w:val="28"/>
        </w:rPr>
        <w:t>
      РЕШИЛИ заключить с этой целью Конвенцию и поэтому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 "Перевозчик" означает любое лицо, которым или от имени которого с грузоотправителем заключен договор морской перевозки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2. "Фактический перевозчик" означает любое лицо, которому перевозчиком поручено осуществление перевозки груза или части перевозки, и включает любое другое лицо, которому поручено такое осуществление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3. "Грузоотправитель" означает любое лицо, который или от имени или от лица которого заключен договор морской перевозки груза с перевозчиком, или любое лицо, которым или от имени или от лица которого груз фактически сдается переводчику в связи с договором морской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4. "Грузополучатель" означает лицо, управомоченное на получение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5. "Груз" включает живых животных; в тех случаях, когда товары объединены в контейнере, на паллете или подобном приспособлении для транспортировки или когда они упакованы, "груз" включает такое приспособление для транспортировки или упаковку, если они предоставлены грузоотправителем.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6. "Договор морской перевозки" означает любой договор, в соответствия с которым перевозчик за уплату фрахта обязуется перевезти груз морем из одного порта в другой; однако договор, охватывающий перевозку морем, а также перевозку каким-либо иным способом, рассматривается как договор морской перевозки для целей настоящей Конвенции лишь в той степени, в какой он относятся к перевозке морем.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"Коносамент" означает документ, который подтверждает договор морской перевозки и прием или погрузку груза перевозчиком и в соответствии с которым перевозчик обязуется сдать груз против этого документа. Указание в документе о том, что груз должен быть сдан приказу поименованного лица или приказу, или предъявителю, представляет собой такое обязательство.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8. "Письменная форма" включает, наряду с прочим, телеграмму и телекс.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настоящей Конвенции применяются ко всем договорам морской перевозки между двумя различными государствами, если:
</w:t>
      </w:r>
      <w:r>
        <w:br/>
      </w:r>
      <w:r>
        <w:rPr>
          <w:rFonts w:ascii="Times New Roman"/>
          <w:b w:val="false"/>
          <w:i w:val="false"/>
          <w:color w:val="000000"/>
          <w:sz w:val="28"/>
        </w:rPr>
        <w:t>
      a) порт погрузки, предусмотренный в договоре морской перевозки, находится в одном из Договаривающихся государств, или
</w:t>
      </w:r>
      <w:r>
        <w:br/>
      </w:r>
      <w:r>
        <w:rPr>
          <w:rFonts w:ascii="Times New Roman"/>
          <w:b w:val="false"/>
          <w:i w:val="false"/>
          <w:color w:val="000000"/>
          <w:sz w:val="28"/>
        </w:rPr>
        <w:t>
      b) порт разгрузки, предусмотренный в договоре морской перевозки, находится в одном из Договаривающихся государств, или
</w:t>
      </w:r>
      <w:r>
        <w:br/>
      </w:r>
      <w:r>
        <w:rPr>
          <w:rFonts w:ascii="Times New Roman"/>
          <w:b w:val="false"/>
          <w:i w:val="false"/>
          <w:color w:val="000000"/>
          <w:sz w:val="28"/>
        </w:rPr>
        <w:t>
      c) один из опционных портов разгрузки, предусмотренных в договоре морской перевозки, является фактическим портом разгрузки и такой порт находится в одном из Договаривающихся государств, или
</w:t>
      </w:r>
      <w:r>
        <w:br/>
      </w:r>
      <w:r>
        <w:rPr>
          <w:rFonts w:ascii="Times New Roman"/>
          <w:b w:val="false"/>
          <w:i w:val="false"/>
          <w:color w:val="000000"/>
          <w:sz w:val="28"/>
        </w:rPr>
        <w:t>
      d) коносамент или другой документ, подтверждающий договор морской перевозки, выдан в одном из Договаривающихся государств, или
</w:t>
      </w:r>
      <w:r>
        <w:br/>
      </w:r>
      <w:r>
        <w:rPr>
          <w:rFonts w:ascii="Times New Roman"/>
          <w:b w:val="false"/>
          <w:i w:val="false"/>
          <w:color w:val="000000"/>
          <w:sz w:val="28"/>
        </w:rPr>
        <w:t>
      e) коносамент или другой документ, подтверждающий договор морской перевозки, предусматривает, что договор должен регулироваться положениями настоящей Конвенции или законодательством любого государства, вводящим их в действие.
</w:t>
      </w:r>
      <w:r>
        <w:br/>
      </w:r>
      <w:r>
        <w:rPr>
          <w:rFonts w:ascii="Times New Roman"/>
          <w:b w:val="false"/>
          <w:i w:val="false"/>
          <w:color w:val="000000"/>
          <w:sz w:val="28"/>
        </w:rPr>
        <w:t>
      2. Положения настоящей Конвенции применяются независимо от национальной принадлежности судна, перевозчика, фактического перевозчика, грузоотправителя, грузополучателя или любого другого заинтересованного лица.
</w:t>
      </w:r>
      <w:r>
        <w:br/>
      </w:r>
      <w:r>
        <w:rPr>
          <w:rFonts w:ascii="Times New Roman"/>
          <w:b w:val="false"/>
          <w:i w:val="false"/>
          <w:color w:val="000000"/>
          <w:sz w:val="28"/>
        </w:rPr>
        <w:t>
      3. Положения настоящей Конвенции не применяются к чартерам. Однако, когда коносамент выдается согласно чартеру, положения Конвенции применяются к такому коносаменту, если он регулирует отношения между перевозчиком и держателем коносамента, не являющимся фрахтователем.
</w:t>
      </w:r>
      <w:r>
        <w:br/>
      </w:r>
      <w:r>
        <w:rPr>
          <w:rFonts w:ascii="Times New Roman"/>
          <w:b w:val="false"/>
          <w:i w:val="false"/>
          <w:color w:val="000000"/>
          <w:sz w:val="28"/>
        </w:rPr>
        <w:t>
      4. Если договор предусматривает перевозку груза несколькими отгрузками в течение согласованного периода, положения настоящей Конвенция применяются к каждой отгрузке. Однако, когда отгрузка осуществляется на основания чартера, применяются положения пункта 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Толкование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толковании и применении положений настоящей Конвенции надлежит учитывать ее международный характер и необходимость содействовать достижению единообразия.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II. ОТВЕТСТВЕННОСТЬ ПЕРЕВОЗЧИКА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Период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Ответственность перевозчика за груз на основании настоящей Конвенции охватывает период, в течение которого груз находится в ведении перевозчика в порту погрузки, во время перевозки и в порту разгрузки.
</w:t>
      </w:r>
      <w:r>
        <w:br/>
      </w:r>
      <w:r>
        <w:rPr>
          <w:rFonts w:ascii="Times New Roman"/>
          <w:b w:val="false"/>
          <w:i w:val="false"/>
          <w:color w:val="000000"/>
          <w:sz w:val="28"/>
        </w:rPr>
        <w:t>
      2. Для целей пункта 1 настоящей статьи считается, что груз находится в ведении перевозчика:
</w:t>
      </w:r>
      <w:r>
        <w:br/>
      </w:r>
      <w:r>
        <w:rPr>
          <w:rFonts w:ascii="Times New Roman"/>
          <w:b w:val="false"/>
          <w:i w:val="false"/>
          <w:color w:val="000000"/>
          <w:sz w:val="28"/>
        </w:rPr>
        <w:t>
      a) с момента, когда он принял груз от:
</w:t>
      </w:r>
      <w:r>
        <w:br/>
      </w:r>
      <w:r>
        <w:rPr>
          <w:rFonts w:ascii="Times New Roman"/>
          <w:b w:val="false"/>
          <w:i w:val="false"/>
          <w:color w:val="000000"/>
          <w:sz w:val="28"/>
        </w:rPr>
        <w:t>
      i) грузоотправителя или лица, действующего от имени грузоотправителя; или
</w:t>
      </w:r>
      <w:r>
        <w:br/>
      </w:r>
      <w:r>
        <w:rPr>
          <w:rFonts w:ascii="Times New Roman"/>
          <w:b w:val="false"/>
          <w:i w:val="false"/>
          <w:color w:val="000000"/>
          <w:sz w:val="28"/>
        </w:rPr>
        <w:t>
      ii) какого-либо органа или иного третьего лица, которому в силу закона или правил, применимых в порту погрузки, груз должен быть передан для отгрузки; 
</w:t>
      </w:r>
      <w:r>
        <w:br/>
      </w:r>
      <w:r>
        <w:rPr>
          <w:rFonts w:ascii="Times New Roman"/>
          <w:b w:val="false"/>
          <w:i w:val="false"/>
          <w:color w:val="000000"/>
          <w:sz w:val="28"/>
        </w:rPr>
        <w:t>
      b) до момента, когда он сдал груз:
</w:t>
      </w:r>
      <w:r>
        <w:br/>
      </w:r>
      <w:r>
        <w:rPr>
          <w:rFonts w:ascii="Times New Roman"/>
          <w:b w:val="false"/>
          <w:i w:val="false"/>
          <w:color w:val="000000"/>
          <w:sz w:val="28"/>
        </w:rPr>
        <w:t>
      i) путем передачи груза грузополучателю; или
</w:t>
      </w:r>
      <w:r>
        <w:br/>
      </w:r>
      <w:r>
        <w:rPr>
          <w:rFonts w:ascii="Times New Roman"/>
          <w:b w:val="false"/>
          <w:i w:val="false"/>
          <w:color w:val="000000"/>
          <w:sz w:val="28"/>
        </w:rPr>
        <w:t>
      ii) в случаях, когда грузополучатель не принимает груз от перевозчика, - путем предоставления его в распоряжение грузополучателя в соответствии с договором или законом или обычаем данной отрасли торговли, применимыми в порту разгрузки; или
</w:t>
      </w:r>
      <w:r>
        <w:br/>
      </w:r>
      <w:r>
        <w:rPr>
          <w:rFonts w:ascii="Times New Roman"/>
          <w:b w:val="false"/>
          <w:i w:val="false"/>
          <w:color w:val="000000"/>
          <w:sz w:val="28"/>
        </w:rPr>
        <w:t>
      iii) путем передачи груза какому-либо органу или иному третьему лицу, которым в силу закона или правил, применимых в порту разгрузки, должен быть передан груз.
</w:t>
      </w:r>
      <w:r>
        <w:br/>
      </w:r>
      <w:r>
        <w:rPr>
          <w:rFonts w:ascii="Times New Roman"/>
          <w:b w:val="false"/>
          <w:i w:val="false"/>
          <w:color w:val="000000"/>
          <w:sz w:val="28"/>
        </w:rPr>
        <w:t>
      3. В пунктах 1 и 2 настоящей статьи ссылка на перевозчика или грузополучателя означает, помимо перевозчика или грузополучателя, также служащих или агентов, соответственно, перевозчика или грузополучателя.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Основания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несет ответственность за ущерб, являющийся результатом утраты или повреждения груза, а также задержки в сдаче, если обстоятельства, вызвавшие утрату, повреждение или задержку, имели место в то время, когда груз находился в его ведении, как это определено в статье 4, если только перевозчик не докажет, что он, его служащие или агенты приняли все меры, которые могли разумно требоваться, чтобы избежать таких обстоятельств и их последствий.
</w:t>
      </w:r>
      <w:r>
        <w:br/>
      </w:r>
      <w:r>
        <w:rPr>
          <w:rFonts w:ascii="Times New Roman"/>
          <w:b w:val="false"/>
          <w:i w:val="false"/>
          <w:color w:val="000000"/>
          <w:sz w:val="28"/>
        </w:rPr>
        <w:t>
      2. Задержка в сдаче имеет место, если груз не сдан в порту разгрузки, предусмотренном в договоре морской перевозки, в пределах срока, прямо определенного соглашением, или при отсутствии такого соглашения - в пределах срока, который было бы разумно требовать от заботливого перевозчика с учетом конкретных обстоятельств.
</w:t>
      </w:r>
      <w:r>
        <w:br/>
      </w:r>
      <w:r>
        <w:rPr>
          <w:rFonts w:ascii="Times New Roman"/>
          <w:b w:val="false"/>
          <w:i w:val="false"/>
          <w:color w:val="000000"/>
          <w:sz w:val="28"/>
        </w:rPr>
        <w:t>
      3. Лицо, управомоченное заявить требование по поводу утраты груза, может считать груз утраченным, если он не был сдан в соответствии с требованиями статьи 4 в пределах 60 календарных дней по истечении срока сдачи согласно пункту 2 настоящей статьи.
</w:t>
      </w:r>
      <w:r>
        <w:br/>
      </w:r>
      <w:r>
        <w:rPr>
          <w:rFonts w:ascii="Times New Roman"/>
          <w:b w:val="false"/>
          <w:i w:val="false"/>
          <w:color w:val="000000"/>
          <w:sz w:val="28"/>
        </w:rPr>
        <w:t>
      4. а) Перевозчик несет ответственность:
</w:t>
      </w:r>
      <w:r>
        <w:br/>
      </w:r>
      <w:r>
        <w:rPr>
          <w:rFonts w:ascii="Times New Roman"/>
          <w:b w:val="false"/>
          <w:i w:val="false"/>
          <w:color w:val="000000"/>
          <w:sz w:val="28"/>
        </w:rPr>
        <w:t>
      i) за утрату или повреждение груза или задержку в сдаче, вызванные пожаром, если лицо, заявляющее требование, докажет, что пожар возник по вине перевозчика, его служащих или агентов;
</w:t>
      </w:r>
      <w:r>
        <w:br/>
      </w:r>
      <w:r>
        <w:rPr>
          <w:rFonts w:ascii="Times New Roman"/>
          <w:b w:val="false"/>
          <w:i w:val="false"/>
          <w:color w:val="000000"/>
          <w:sz w:val="28"/>
        </w:rPr>
        <w:t>
      ii) за такие утрату, повреждение или задержку в сдаче, которые, если это доказано лицом, заявляющим требование, произошли по вине перевозчика, его служащих или агентов при принятия всех мер, которые могли разумно требоваться, чтобы ликвидировать пожар и избежать или уменьшить его последствия.
</w:t>
      </w:r>
      <w:r>
        <w:br/>
      </w:r>
      <w:r>
        <w:rPr>
          <w:rFonts w:ascii="Times New Roman"/>
          <w:b w:val="false"/>
          <w:i w:val="false"/>
          <w:color w:val="000000"/>
          <w:sz w:val="28"/>
        </w:rPr>
        <w:t>
      b) В случае, когда пожар на борту судна затронул груз, и если того пожелает лицо, заявляющее требование, или перевозчик, должен быть проведен сюрвейерский осмотр в соответствии с практикой морских перевозок по поводу причин и обстоятельств пожара, и копия соответствующего отчета должна предоставляться перевозчику или лицу, заявляющему требование, по их запросу.
</w:t>
      </w:r>
      <w:r>
        <w:br/>
      </w:r>
      <w:r>
        <w:rPr>
          <w:rFonts w:ascii="Times New Roman"/>
          <w:b w:val="false"/>
          <w:i w:val="false"/>
          <w:color w:val="000000"/>
          <w:sz w:val="28"/>
        </w:rPr>
        <w:t>
      5. В отношении живых животных перевозчик не несет ответственности за утрату, повреждение или задержку в сдаче, являющиеся результатом любых особых рисков, присущих этому виду перевозки. Если перевозчик докажет, что он выполнил специальные инструкции в отношении животных, данные ему грузоотправителей, и что при данных обстоятельствах утрата, повреждение или задержка в сдаче могли бы быть отнесены на счет таких рисков, предполагается, что утрата, повреждение или задержка в сдаче были вызваны этими рисками, если нет доказательств того, что целиком или отчасти утрата, повреждение или задержка в сдаче произошли по вине перевозчика, его служащих или агентов.
</w:t>
      </w:r>
      <w:r>
        <w:br/>
      </w:r>
      <w:r>
        <w:rPr>
          <w:rFonts w:ascii="Times New Roman"/>
          <w:b w:val="false"/>
          <w:i w:val="false"/>
          <w:color w:val="000000"/>
          <w:sz w:val="28"/>
        </w:rPr>
        <w:t>
      6. Перевозчик не несет ответственности, кроме как по общей аварии, в тех случаях, когда утрата, повреждение или задержка в сдаче возникли в результате мер по спасанию жизни или разумных мер по спасанию имущества на море.
</w:t>
      </w:r>
      <w:r>
        <w:br/>
      </w:r>
      <w:r>
        <w:rPr>
          <w:rFonts w:ascii="Times New Roman"/>
          <w:b w:val="false"/>
          <w:i w:val="false"/>
          <w:color w:val="000000"/>
          <w:sz w:val="28"/>
        </w:rPr>
        <w:t>
      7. В тех случаях, когда вина перевозчика, его служащих или агентов сочетается с другой причиной в возникновении утраты, повреждения или задержки в сдаче, перевозчик несет ответственность лишь в той степени, в какой утрата, повреждение или задержка в сдаче обусловлены виной перевозчика, его служащих или агентов, при условии, что перевозчик докажет размер утраты, повреждения или задержки в сдаче, которые не обусловлены виной с его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Пределы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Ответственность перевозчика за ущерб, являющийся результатом утраты или повреждения груза, в соответствии с положениями статьи 5 ограничивается суммой, эквивалентной 835 расчетным единицам за место или другую единицу отгрузки, либо 2,5 расчетной единицы за один килограмм веса брутто утраченного или поврежденного груза в зависимости от того, какая сумма выше.
</w:t>
      </w:r>
      <w:r>
        <w:br/>
      </w:r>
      <w:r>
        <w:rPr>
          <w:rFonts w:ascii="Times New Roman"/>
          <w:b w:val="false"/>
          <w:i w:val="false"/>
          <w:color w:val="000000"/>
          <w:sz w:val="28"/>
        </w:rPr>
        <w:t>
      b) Ответственность перевозчика за задержку в сдаче в соответствии с положениями статьи 5 ограничивается суммой, в 2,5 раза кратной фрахту, подлежащему уплате за задержанный сдачей груз, но не превышающей размеры фрахта, подлежащего уплате на основании договора морской перевозки.
</w:t>
      </w:r>
      <w:r>
        <w:br/>
      </w:r>
      <w:r>
        <w:rPr>
          <w:rFonts w:ascii="Times New Roman"/>
          <w:b w:val="false"/>
          <w:i w:val="false"/>
          <w:color w:val="000000"/>
          <w:sz w:val="28"/>
        </w:rPr>
        <w:t>
      c) Ни в коем случае совокупная ответственность перевозчика на основании обоих подпунктов "
</w:t>
      </w:r>
      <w:r>
        <w:rPr>
          <w:rFonts w:ascii="Times New Roman"/>
          <w:b w:val="false"/>
          <w:i w:val="false"/>
          <w:color w:val="000000"/>
          <w:sz w:val="28"/>
          <w:u w:val="single"/>
        </w:rPr>
        <w:t>
а
</w:t>
      </w:r>
      <w:r>
        <w:rPr>
          <w:rFonts w:ascii="Times New Roman"/>
          <w:b w:val="false"/>
          <w:i w:val="false"/>
          <w:color w:val="000000"/>
          <w:sz w:val="28"/>
        </w:rPr>
        <w:t>
" и "
</w:t>
      </w:r>
      <w:r>
        <w:rPr>
          <w:rFonts w:ascii="Times New Roman"/>
          <w:b w:val="false"/>
          <w:i w:val="false"/>
          <w:color w:val="000000"/>
          <w:sz w:val="28"/>
          <w:u w:val="single"/>
        </w:rPr>
        <w:t>
b
</w:t>
      </w:r>
      <w:r>
        <w:rPr>
          <w:rFonts w:ascii="Times New Roman"/>
          <w:b w:val="false"/>
          <w:i w:val="false"/>
          <w:color w:val="000000"/>
          <w:sz w:val="28"/>
        </w:rPr>
        <w:t>
" настоящего пункта не превышает ограничения, которое было бы установлено согласно подпункту "
</w:t>
      </w:r>
      <w:r>
        <w:rPr>
          <w:rFonts w:ascii="Times New Roman"/>
          <w:b w:val="false"/>
          <w:i w:val="false"/>
          <w:color w:val="000000"/>
          <w:sz w:val="28"/>
          <w:u w:val="single"/>
        </w:rPr>
        <w:t>
а
</w:t>
      </w:r>
      <w:r>
        <w:rPr>
          <w:rFonts w:ascii="Times New Roman"/>
          <w:b w:val="false"/>
          <w:i w:val="false"/>
          <w:color w:val="000000"/>
          <w:sz w:val="28"/>
        </w:rPr>
        <w:t>
" настоящего пункта за полную утрату груза, в отношении которого возникла такая ответственность.
</w:t>
      </w:r>
      <w:r>
        <w:br/>
      </w:r>
      <w:r>
        <w:rPr>
          <w:rFonts w:ascii="Times New Roman"/>
          <w:b w:val="false"/>
          <w:i w:val="false"/>
          <w:color w:val="000000"/>
          <w:sz w:val="28"/>
        </w:rPr>
        <w:t>
      2. Для целей исчисления более высокой суммы в соответствии с пунктом 1 "а" настоящей статьи применяются следующие правила:
</w:t>
      </w:r>
      <w:r>
        <w:br/>
      </w:r>
      <w:r>
        <w:rPr>
          <w:rFonts w:ascii="Times New Roman"/>
          <w:b w:val="false"/>
          <w:i w:val="false"/>
          <w:color w:val="000000"/>
          <w:sz w:val="28"/>
        </w:rPr>
        <w:t>
      a) Когда для объединения товаров используется контейнер, паллет или подобное приспособление для транспортировки, места или другие единицы отгрузки, перечисленные в коносаменте, если таковой выдан, или же в любом другом документе, подтверждающим договор морской перевозки, как упакованные в таком приспособлении для транспортировки, рассматриваются как места или единицы отгрузки. За указанным выше исключением, грузы в таком приспособлении для транспортировки рассматриваются как одна единица отгрузки.
</w:t>
      </w:r>
      <w:r>
        <w:br/>
      </w:r>
      <w:r>
        <w:rPr>
          <w:rFonts w:ascii="Times New Roman"/>
          <w:b w:val="false"/>
          <w:i w:val="false"/>
          <w:color w:val="000000"/>
          <w:sz w:val="28"/>
        </w:rPr>
        <w:t>
      b) В тех случаях, когда утрачено или повреждено само приспособление для транспортировки, это приспособление для транспортировки, если оно не является собственностью перевозчика или не предоставлено им, рассматривается как отдельная единица отгрузки.
</w:t>
      </w:r>
      <w:r>
        <w:br/>
      </w:r>
      <w:r>
        <w:rPr>
          <w:rFonts w:ascii="Times New Roman"/>
          <w:b w:val="false"/>
          <w:i w:val="false"/>
          <w:color w:val="000000"/>
          <w:sz w:val="28"/>
        </w:rPr>
        <w:t>
      3. Расчетная единица означает расчетную единицу, указанную в статье 26.
</w:t>
      </w:r>
      <w:r>
        <w:br/>
      </w:r>
      <w:r>
        <w:rPr>
          <w:rFonts w:ascii="Times New Roman"/>
          <w:b w:val="false"/>
          <w:i w:val="false"/>
          <w:color w:val="000000"/>
          <w:sz w:val="28"/>
        </w:rPr>
        <w:t>
      4. По соглашению между перевозчиком и грузоотправителем могут быть установлены пределы ответственности, превышающие предусмотренные в пункте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Применение в отношении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внедоговорных требований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Возражения ответчика и пределы ответственности, предусмотренные в настоящей Конвенции, применяется при любом иске к перевозчику по поводу утраты или повреждения груза, на который распространяется договор морской перевозки, равно как и по поводу задержки в сдаче, независимо от того, основан этот иск на договоре, деликте или ином правоосновании.
</w:t>
      </w:r>
      <w:r>
        <w:br/>
      </w:r>
      <w:r>
        <w:rPr>
          <w:rFonts w:ascii="Times New Roman"/>
          <w:b w:val="false"/>
          <w:i w:val="false"/>
          <w:color w:val="000000"/>
          <w:sz w:val="28"/>
        </w:rPr>
        <w:t>
      2. Если такой иск предъявлен к служащему или агенту перевозчика, такой служащий или агент, доказав, что он действовал в пределах своих служебных обязанностей, имеет право воспользоваться возражениями ответчика и пределами ответственности, на которые согласно настоящей Конвенции вправе ссылаться сам перевозчик.
</w:t>
      </w:r>
      <w:r>
        <w:br/>
      </w:r>
      <w:r>
        <w:rPr>
          <w:rFonts w:ascii="Times New Roman"/>
          <w:b w:val="false"/>
          <w:i w:val="false"/>
          <w:color w:val="000000"/>
          <w:sz w:val="28"/>
        </w:rPr>
        <w:t>
      3. За исключением того, что предусмотрено в статье 8, суммы, которые могут быть взысканы с перевозчика и любых лиц, упомянутых в пункте 2 настоящей статьи, не превышают в совокупности пределы ответственности, предусмотренные в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Утрата права на ограничение ответственности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не имеет права на ограничение ответственности, предусмотренное в статье 6, если доказано, что утрата, повреждение или задержка в сдаче явились результатом действия или упущения перевозчика, совершенных либо с намерением причинить такую утрату, повреждение или задержку, либо вследствие безответственности и с пониманием вероятности возникновения такой утраты, повреждения или задержки.
</w:t>
      </w:r>
      <w:r>
        <w:br/>
      </w:r>
      <w:r>
        <w:rPr>
          <w:rFonts w:ascii="Times New Roman"/>
          <w:b w:val="false"/>
          <w:i w:val="false"/>
          <w:color w:val="000000"/>
          <w:sz w:val="28"/>
        </w:rPr>
        <w:t>
      2. Несмотря на положения пункта 2 статьи 7, служащий или агент перевозчика не имеет права на ограничение ответственности, предусмотренное в статье 6, если доказано, что утрата, повреждение или задержка в сдаче явились результатом действия или упущения такого служащего или агента, совершенных либо с намерением причинить такую утрату, повреждение или задержку, либо вследствие безответственности и с пониманием вероятности возникновения такой утраты, повреждения или задержки.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Палубный груз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 имеет право перевозить груз на палубе только в том случае, если такая перевозка соответствует соглашению с грузоотправителем или обычаю данной отрасли торговли, либо требуется по законодательным нормам или правилам.
</w:t>
      </w:r>
      <w:r>
        <w:br/>
      </w:r>
      <w:r>
        <w:rPr>
          <w:rFonts w:ascii="Times New Roman"/>
          <w:b w:val="false"/>
          <w:i w:val="false"/>
          <w:color w:val="000000"/>
          <w:sz w:val="28"/>
        </w:rPr>
        <w:t>
      2. Если перевозчик и грузоотправитель договорились о том, что груз должен или может перевозиться на палубе, перевозчик обязан включить указание об этом в коносамент или другой документ, подтверждающий договор морской перевозки. При отсутствии подобного указания перевозчик несет бремя доказывания того, что соглашение о перевозке груза на палубе было заключено; однако перевозчик не имеет права ссылаться на такое соглашение в отношении третьей стороны, включая грузополучателя, которая добросовестно приобрела коносамент.
</w:t>
      </w:r>
      <w:r>
        <w:br/>
      </w:r>
      <w:r>
        <w:rPr>
          <w:rFonts w:ascii="Times New Roman"/>
          <w:b w:val="false"/>
          <w:i w:val="false"/>
          <w:color w:val="000000"/>
          <w:sz w:val="28"/>
        </w:rPr>
        <w:t>
      3. В тех случаях, когда груз перевозился на палубе вопреки положениям пункта 1 настоящей статьи или когда перевозчик не может в соответствии с пунктом 2 настоящей статьи ссылаться на соглашение о перевозке груза на палубе, перевозчик, несмотря на положения пункта 1 статьи 5, несет ответственность за утрату или повреждение груза, а также за задержку в сдаче, вызванные исключительно перевозкой груза на палубе, и предел его ответственности определяется в соответствии с положениями статьи 6 или статьи 8 настоящей Конвенции в зависимости от обстоятельств.
</w:t>
      </w:r>
      <w:r>
        <w:br/>
      </w:r>
      <w:r>
        <w:rPr>
          <w:rFonts w:ascii="Times New Roman"/>
          <w:b w:val="false"/>
          <w:i w:val="false"/>
          <w:color w:val="000000"/>
          <w:sz w:val="28"/>
        </w:rPr>
        <w:t>
      4. Перевозка груза на палубе вопреки прямому соглашению о перевозке в трюме рассматривается как действие или упущение перевозчика в смысле статьи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Ответственность перевозчика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фактического перевозчика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тех случаях, когда осуществление перевозки или части ее поручено фактическому перевозчику, даже если это допустимо по условиям договора морской перевозки, перевозчик тем не менее остается ответственным за всю перевозку в соответствии с положениями настоящей Конвенции. В отношении перевозки, осуществленной фактическим перевозчиком, перевозчик несет ответственность за действия и упущения фактического перевозчика и его служащих и агентов, действовавших в пределах своих служебных обязанностей.
</w:t>
      </w:r>
      <w:r>
        <w:br/>
      </w:r>
      <w:r>
        <w:rPr>
          <w:rFonts w:ascii="Times New Roman"/>
          <w:b w:val="false"/>
          <w:i w:val="false"/>
          <w:color w:val="000000"/>
          <w:sz w:val="28"/>
        </w:rPr>
        <w:t>
      2. Все положения настоящей Конвенции, регулирующие ответственность перевозчика, применяются также в отношении ответственности фактического перевозчика за осуществленную им перевозку. Положения пунктов 2 и 3 статьи 7 и пункта 2 статьи 8 применимы в случае предъявления иска к служащему или агенту фактического перевозчика.
</w:t>
      </w:r>
      <w:r>
        <w:br/>
      </w:r>
      <w:r>
        <w:rPr>
          <w:rFonts w:ascii="Times New Roman"/>
          <w:b w:val="false"/>
          <w:i w:val="false"/>
          <w:color w:val="000000"/>
          <w:sz w:val="28"/>
        </w:rPr>
        <w:t>
      3. Любое специальное соглашение, в соответствии с которым перевозчик принимает на себя обязательства, не предусмотренные настоящей Конвенцией, или отказывается от прав, предоставляемых настоящей Конвенцией, распространяется на фактического перевозчика только в том случае, если он с этим согласился прямо выраженным образом и в письменной форме. Независимо от наличия или отсутствия такого согласия фактического перевозчика, перевозчик тем не менее остается связанным обязательствами или отказом от прав, вытекающими из такого специального соглашения.
</w:t>
      </w:r>
      <w:r>
        <w:br/>
      </w:r>
      <w:r>
        <w:rPr>
          <w:rFonts w:ascii="Times New Roman"/>
          <w:b w:val="false"/>
          <w:i w:val="false"/>
          <w:color w:val="000000"/>
          <w:sz w:val="28"/>
        </w:rPr>
        <w:t>
      4. В тех случаях и в той мере, в которых и перевозчик, и фактический перевозчик несут ответственность, их ответственность является солидарной.
</w:t>
      </w:r>
      <w:r>
        <w:br/>
      </w:r>
      <w:r>
        <w:rPr>
          <w:rFonts w:ascii="Times New Roman"/>
          <w:b w:val="false"/>
          <w:i w:val="false"/>
          <w:color w:val="000000"/>
          <w:sz w:val="28"/>
        </w:rPr>
        <w:t>
      5. Суммы, которые могут быть взысканы с перевозчика, фактического перевозчика и их служащих и агентов, не должны в совокупности превышать пределы ответственности, предусмотренные настоящей Конвенцией.
</w:t>
      </w:r>
      <w:r>
        <w:br/>
      </w:r>
      <w:r>
        <w:rPr>
          <w:rFonts w:ascii="Times New Roman"/>
          <w:b w:val="false"/>
          <w:i w:val="false"/>
          <w:color w:val="000000"/>
          <w:sz w:val="28"/>
        </w:rPr>
        <w:t>
      6. Ничто в настоящей статье не умаляет какого бы то ни было права обратного требования в отношениях между перевозчиком и фактическим перевозчиком.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Сквозная перевозка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пункта 1 статьи 10, в тех случаях, когда в договоре морской перевозки прямо предусматривается, что конкретная часть перевозки, охватываемой указанным договором, должна осуществляться не перевозчиком, а другим определенным лицом, в договоре может быть также предусмотрено, что перевозчик не несет ответственности за утрату, повреждение или задержку в сдаче, вызванные обстоятельствами, имевшими место в то время, когда груз находился в ведении фактического перевозчика в течение такой части перевозки. Тем не менее любое условие, ограничивающее или исключающее такую ответственность, не имеет силы, если судебное разбирательство, против фактического перевозчика не может быть возбуждено в каком-либо суде, компетентном на основании пункта 1 или 2 статьи 21. Бремя доказывания того, что утрата, повреждение или задержка в сдаче были вызваны таким обстоятельством, лежит на перевозчике.
</w:t>
      </w:r>
      <w:r>
        <w:br/>
      </w:r>
      <w:r>
        <w:rPr>
          <w:rFonts w:ascii="Times New Roman"/>
          <w:b w:val="false"/>
          <w:i w:val="false"/>
          <w:color w:val="000000"/>
          <w:sz w:val="28"/>
        </w:rPr>
        <w:t>
      2. Фактический перевозчик несет ответственность в соответствии с положениями пункта 2 статьи 10 за утрату, повреждение или задержку в сдаче, вызванные обстоятельствами, которые имели место во время нахождения груза в его ведении.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III. ОТВЕТСТВЕННОСТЬ ГРУЗООТПРАВИТЕЛЯ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Общее правило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Грузоотправитель не отвечает за ущерб, понесенный перевозчиком или фактическим перевозчиком, или за повреждение, полученное судном, если только такой ущерб или повреждение не произошли по вине грузоотправителя, его служащих или агентов. Служащий или агент грузоотправителя также не несет ответственности за такой ущерб или повреждение, если только ущерб или повреждение не были вызваны виной с его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Специальные правила об опасном грузе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Грузоотправитель должен замаркировать или обозначить подходящим способом опасный груз как опасный.
</w:t>
      </w:r>
      <w:r>
        <w:br/>
      </w:r>
      <w:r>
        <w:rPr>
          <w:rFonts w:ascii="Times New Roman"/>
          <w:b w:val="false"/>
          <w:i w:val="false"/>
          <w:color w:val="000000"/>
          <w:sz w:val="28"/>
        </w:rPr>
        <w:t>
      2. Когда грузоотправитель передает опасный груз перевозчику или фактическому перевозчику, в зависимости от обстоятельств, грузоотправитель должен проинформировать его об опасном характере груза и, если необходимо, о мерах предосторожности, которые следует принять. Если грузоотправитель не сделает этого, а такой перевозчик или такой фактический перевозчик иным образом не осведомлены об опасном характере груза:
</w:t>
      </w:r>
      <w:r>
        <w:br/>
      </w:r>
      <w:r>
        <w:rPr>
          <w:rFonts w:ascii="Times New Roman"/>
          <w:b w:val="false"/>
          <w:i w:val="false"/>
          <w:color w:val="000000"/>
          <w:sz w:val="28"/>
        </w:rPr>
        <w:t>
      a) грузоотправитель несет ответственность перед перевозчиком и любым фактическим перевозчиком за ущерб, возникший в результате отгрузки такого груза, и
</w:t>
      </w:r>
      <w:r>
        <w:br/>
      </w:r>
      <w:r>
        <w:rPr>
          <w:rFonts w:ascii="Times New Roman"/>
          <w:b w:val="false"/>
          <w:i w:val="false"/>
          <w:color w:val="000000"/>
          <w:sz w:val="28"/>
        </w:rPr>
        <w:t>
      b) груз может быть в любое время выгружен, уничтожен или обезврежен, как того могут потребовать обстоятельства, без уплаты компенсации.
</w:t>
      </w:r>
      <w:r>
        <w:br/>
      </w:r>
      <w:r>
        <w:rPr>
          <w:rFonts w:ascii="Times New Roman"/>
          <w:b w:val="false"/>
          <w:i w:val="false"/>
          <w:color w:val="000000"/>
          <w:sz w:val="28"/>
        </w:rPr>
        <w:t>
      3. Ни одно лицо не может ссылаться на положения пункта 2 настоящей статьи, если во время перевозки оно приняло груз в свое ведение, зная о его опасном характере.
</w:t>
      </w:r>
      <w:r>
        <w:br/>
      </w:r>
      <w:r>
        <w:rPr>
          <w:rFonts w:ascii="Times New Roman"/>
          <w:b w:val="false"/>
          <w:i w:val="false"/>
          <w:color w:val="000000"/>
          <w:sz w:val="28"/>
        </w:rPr>
        <w:t>
      4. Если - в случаях, когда положения подпункта "b" пункта 2 настоящей статьи неприменимы или на них нельзя ссылаться, - опасный груз становится фактически опасным для жизни или имущества, он может быть выгружен, уничтожен или обезврежен, как того могут потребовать обстоятельства, без уплаты компенсации, кроме как в силу обязательства по участии в покрытии убытков по общей аварии или когда перевозчик несет ответственность в соответствии с положениями статьи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IV. ТРАНСПОРТНЫЕ ДОКУМЕНТЫ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Выдача коносамента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Когда перевозчик или фактический перевозчик принимает груз в свое ведение, перевозчик по требование грузоотправителя обязан выдать грузоотправителю коносамент.
</w:t>
      </w:r>
      <w:r>
        <w:br/>
      </w:r>
      <w:r>
        <w:rPr>
          <w:rFonts w:ascii="Times New Roman"/>
          <w:b w:val="false"/>
          <w:i w:val="false"/>
          <w:color w:val="000000"/>
          <w:sz w:val="28"/>
        </w:rPr>
        <w:t>
      2. Коносамент может быть подписан лицом, имеющим полномочия от перевозчика. Коносамент, подписанный капитаном судна, на котором перевозится груз, считается подписанным от имени перевозчика.
</w:t>
      </w:r>
      <w:r>
        <w:br/>
      </w:r>
      <w:r>
        <w:rPr>
          <w:rFonts w:ascii="Times New Roman"/>
          <w:b w:val="false"/>
          <w:i w:val="false"/>
          <w:color w:val="000000"/>
          <w:sz w:val="28"/>
        </w:rPr>
        <w:t>
      3. Подпись на коносаменте может быть сделана от руки, напечатана в виде факсимиле, перфорирована, поставлена с помощью штампа, в виде символов или с помощью любых иных механических или электронных средств, если это не противоречит закону страны, в которой выдается коносамент.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Содержание коносамента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коносамент должны быть включены, в частности, следующие данные:
</w:t>
      </w:r>
      <w:r>
        <w:br/>
      </w:r>
      <w:r>
        <w:rPr>
          <w:rFonts w:ascii="Times New Roman"/>
          <w:b w:val="false"/>
          <w:i w:val="false"/>
          <w:color w:val="000000"/>
          <w:sz w:val="28"/>
        </w:rPr>
        <w:t>
      a) общий характер груза, основные марки, необходимые для идентификации груза, прямое указание - в соответствующих случаях - относительно опасного характера груза, число мест или предметов и вес груза или его количество, обозначенное иным образом, причем вое эти данные указываются так, как они представлены грузоотправителем;
</w:t>
      </w:r>
      <w:r>
        <w:br/>
      </w:r>
      <w:r>
        <w:rPr>
          <w:rFonts w:ascii="Times New Roman"/>
          <w:b w:val="false"/>
          <w:i w:val="false"/>
          <w:color w:val="000000"/>
          <w:sz w:val="28"/>
        </w:rPr>
        <w:t>
      b) внешнее состояние груза;
</w:t>
      </w:r>
      <w:r>
        <w:br/>
      </w:r>
      <w:r>
        <w:rPr>
          <w:rFonts w:ascii="Times New Roman"/>
          <w:b w:val="false"/>
          <w:i w:val="false"/>
          <w:color w:val="000000"/>
          <w:sz w:val="28"/>
        </w:rPr>
        <w:t>
      c) наименование перевозчика и местонахождение его основного коммерческого предприятия;
</w:t>
      </w:r>
      <w:r>
        <w:br/>
      </w:r>
      <w:r>
        <w:rPr>
          <w:rFonts w:ascii="Times New Roman"/>
          <w:b w:val="false"/>
          <w:i w:val="false"/>
          <w:color w:val="000000"/>
          <w:sz w:val="28"/>
        </w:rPr>
        <w:t>
      d) наименование грузоотправителя;
</w:t>
      </w:r>
      <w:r>
        <w:br/>
      </w:r>
      <w:r>
        <w:rPr>
          <w:rFonts w:ascii="Times New Roman"/>
          <w:b w:val="false"/>
          <w:i w:val="false"/>
          <w:color w:val="000000"/>
          <w:sz w:val="28"/>
        </w:rPr>
        <w:t>
      e) наименование грузополучателя, если он указан грузоотправителем;
</w:t>
      </w:r>
      <w:r>
        <w:br/>
      </w:r>
      <w:r>
        <w:rPr>
          <w:rFonts w:ascii="Times New Roman"/>
          <w:b w:val="false"/>
          <w:i w:val="false"/>
          <w:color w:val="000000"/>
          <w:sz w:val="28"/>
        </w:rPr>
        <w:t>
      f) порт погрузки согласно договору морской перевозки и дата приема груза перевозчиком в порту погрузки;
</w:t>
      </w:r>
      <w:r>
        <w:br/>
      </w:r>
      <w:r>
        <w:rPr>
          <w:rFonts w:ascii="Times New Roman"/>
          <w:b w:val="false"/>
          <w:i w:val="false"/>
          <w:color w:val="000000"/>
          <w:sz w:val="28"/>
        </w:rPr>
        <w:t>
      g) порт разгрузки согласно договору морской перевозки;
</w:t>
      </w:r>
      <w:r>
        <w:br/>
      </w:r>
      <w:r>
        <w:rPr>
          <w:rFonts w:ascii="Times New Roman"/>
          <w:b w:val="false"/>
          <w:i w:val="false"/>
          <w:color w:val="000000"/>
          <w:sz w:val="28"/>
        </w:rPr>
        <w:t>
      h) число оригиналов коносамента, если их больше одного;
</w:t>
      </w:r>
      <w:r>
        <w:br/>
      </w:r>
      <w:r>
        <w:rPr>
          <w:rFonts w:ascii="Times New Roman"/>
          <w:b w:val="false"/>
          <w:i w:val="false"/>
          <w:color w:val="000000"/>
          <w:sz w:val="28"/>
        </w:rPr>
        <w:t>
      i) место выдачи коносамента;
</w:t>
      </w:r>
      <w:r>
        <w:br/>
      </w:r>
      <w:r>
        <w:rPr>
          <w:rFonts w:ascii="Times New Roman"/>
          <w:b w:val="false"/>
          <w:i w:val="false"/>
          <w:color w:val="000000"/>
          <w:sz w:val="28"/>
        </w:rPr>
        <w:t>
      j) подпись перевозчика или липа, действующего от его имени;
</w:t>
      </w:r>
      <w:r>
        <w:br/>
      </w:r>
      <w:r>
        <w:rPr>
          <w:rFonts w:ascii="Times New Roman"/>
          <w:b w:val="false"/>
          <w:i w:val="false"/>
          <w:color w:val="000000"/>
          <w:sz w:val="28"/>
        </w:rPr>
        <w:t>
      k) фрахт в размере, подлежащем уплате грузополучателем, или иное указание на то, что фрахт должен уплачиваться им;
</w:t>
      </w:r>
      <w:r>
        <w:br/>
      </w:r>
      <w:r>
        <w:rPr>
          <w:rFonts w:ascii="Times New Roman"/>
          <w:b w:val="false"/>
          <w:i w:val="false"/>
          <w:color w:val="000000"/>
          <w:sz w:val="28"/>
        </w:rPr>
        <w:t>
      l) указание, упомянутое в пункте 3 статьи 23;
</w:t>
      </w:r>
      <w:r>
        <w:br/>
      </w:r>
      <w:r>
        <w:rPr>
          <w:rFonts w:ascii="Times New Roman"/>
          <w:b w:val="false"/>
          <w:i w:val="false"/>
          <w:color w:val="000000"/>
          <w:sz w:val="28"/>
        </w:rPr>
        <w:t>
      m) указание - в соответствующих случаях - о том, что груз должен или может перевозиться на палубе;
</w:t>
      </w:r>
      <w:r>
        <w:br/>
      </w:r>
      <w:r>
        <w:rPr>
          <w:rFonts w:ascii="Times New Roman"/>
          <w:b w:val="false"/>
          <w:i w:val="false"/>
          <w:color w:val="000000"/>
          <w:sz w:val="28"/>
        </w:rPr>
        <w:t>
      n) дата или период сдачи груза в порту разгрузки, если они прямо согласованы сторонами; и
</w:t>
      </w:r>
      <w:r>
        <w:br/>
      </w:r>
      <w:r>
        <w:rPr>
          <w:rFonts w:ascii="Times New Roman"/>
          <w:b w:val="false"/>
          <w:i w:val="false"/>
          <w:color w:val="000000"/>
          <w:sz w:val="28"/>
        </w:rPr>
        <w:t>
      о) повышенный предел или пределы ответственности, если таковые согласованы в соответствии с пунктом 4 статьи 6.
</w:t>
      </w:r>
      <w:r>
        <w:br/>
      </w:r>
      <w:r>
        <w:rPr>
          <w:rFonts w:ascii="Times New Roman"/>
          <w:b w:val="false"/>
          <w:i w:val="false"/>
          <w:color w:val="000000"/>
          <w:sz w:val="28"/>
        </w:rPr>
        <w:t>
      2. После того, как груз погружен на борт, перевозчик, если того потребует грузоотправитель, должен выдать грузоотправителю "бортовой" коносамент, в котором в дополнение к данным, требуемым согласно пункту 1 настоящей статьи, должно быть указано, что груз находится на борту определенного судна или судов, а также должна быть указана дата или даты погрузки. Если перевозчик ранее выдал грузоотправителю коносамент или иной товарораспорядительный документ, относящийся к данному грузу, то по просьбе перевозчика грузоотправитель должен возвратить такой документ в обмен на "бортовой" коносамент. Перевозчик может удовлетворять требование грузоотправителя в отношении "бортового" коносамента путем дополнения любого ранее выданного документа при условии, что дополненный таким образом документ включает все данные, которые должны содержаться в "бортовом" коносаменте.
</w:t>
      </w:r>
      <w:r>
        <w:br/>
      </w:r>
      <w:r>
        <w:rPr>
          <w:rFonts w:ascii="Times New Roman"/>
          <w:b w:val="false"/>
          <w:i w:val="false"/>
          <w:color w:val="000000"/>
          <w:sz w:val="28"/>
        </w:rPr>
        <w:t>
      3. Отсутствие в коносаменте каких-либо данных, упомянутых в настоящей статье, не влияет на юридический характер документа как коносамента при условии, однако, что он удовлетворяет требованиям, содержащимся в пункте 7 статья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Коносаменты: оговорки и доказательственная сила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в коносаменте содержатся данные, касающиеся общего характера, основных марок, числа мест или предметов, веса или количества груза, в отношении которых перевозчик или другое лицо, выдающее коносамент от его имени, знает или имеет достаточные основания подозревать, что они не точно соответствуют фактически принятому, а в случае выдачи "бортового" коносамента - погруженному грузу, либо если у него не было разумной возможности проверять такие данные, перевозчик или такое другое лицо должен внести в коносамент оговорку, конкретно указывающую на эти неточности, основания для подозрений или отсутствие разумной возможности проверки.
</w:t>
      </w:r>
      <w:r>
        <w:br/>
      </w:r>
      <w:r>
        <w:rPr>
          <w:rFonts w:ascii="Times New Roman"/>
          <w:b w:val="false"/>
          <w:i w:val="false"/>
          <w:color w:val="000000"/>
          <w:sz w:val="28"/>
        </w:rPr>
        <w:t>
      2. Если перевозчик или другое лицо, выдающее коносамент от его имени, не указывает в коносаменте внешнее состояние груза, считается, что он указал в коносаменте, что внешнее состояние груза хорошее.
</w:t>
      </w:r>
      <w:r>
        <w:br/>
      </w:r>
      <w:r>
        <w:rPr>
          <w:rFonts w:ascii="Times New Roman"/>
          <w:b w:val="false"/>
          <w:i w:val="false"/>
          <w:color w:val="000000"/>
          <w:sz w:val="28"/>
        </w:rPr>
        <w:t>
      3. За исключением данных, в отношении которых и в той мере, в какой была внесена оговорка, допустимая согласно пункту 1 настоящей статьи:
</w:t>
      </w:r>
      <w:r>
        <w:br/>
      </w:r>
      <w:r>
        <w:rPr>
          <w:rFonts w:ascii="Times New Roman"/>
          <w:b w:val="false"/>
          <w:i w:val="false"/>
          <w:color w:val="000000"/>
          <w:sz w:val="28"/>
        </w:rPr>
        <w:t>
      a) коносамент является доказательством 
</w:t>
      </w:r>
      <w:r>
        <w:rPr>
          <w:rFonts w:ascii="Times New Roman"/>
          <w:b w:val="false"/>
          <w:i w:val="false"/>
          <w:color w:val="000000"/>
          <w:sz w:val="28"/>
          <w:u w:val="single"/>
        </w:rPr>
        <w:t>
prima facie
</w:t>
      </w:r>
      <w:r>
        <w:rPr>
          <w:rFonts w:ascii="Times New Roman"/>
          <w:b w:val="false"/>
          <w:i w:val="false"/>
          <w:color w:val="000000"/>
          <w:sz w:val="28"/>
        </w:rPr>
        <w:t>
 приема, а в случае выдачи "бортового" коносамента - погрузки перевозчиком груза, как он описан в коносаменте; и
</w:t>
      </w:r>
      <w:r>
        <w:br/>
      </w:r>
      <w:r>
        <w:rPr>
          <w:rFonts w:ascii="Times New Roman"/>
          <w:b w:val="false"/>
          <w:i w:val="false"/>
          <w:color w:val="000000"/>
          <w:sz w:val="28"/>
        </w:rPr>
        <w:t>
      b) доказывание перевозчиком противного не допускается, если коносамент передан третьей стороне, включая грузополучателя, которая действовала добросовестно, полагаясь на содержащееся в коносаменте описание груза.
</w:t>
      </w:r>
      <w:r>
        <w:br/>
      </w:r>
      <w:r>
        <w:rPr>
          <w:rFonts w:ascii="Times New Roman"/>
          <w:b w:val="false"/>
          <w:i w:val="false"/>
          <w:color w:val="000000"/>
          <w:sz w:val="28"/>
        </w:rPr>
        <w:t>
      4. Коносамент, в который не включено, как это предусмотрено в подпункте "k" пункта 1 статьи 15, указание фрахта или иное указание на то, что фрахт должен уплачиваться грузополучателем, или не указан возникший в порту погрузки демередж, подлежащий оплате грузополучателем, является доказательством 
</w:t>
      </w:r>
      <w:r>
        <w:rPr>
          <w:rFonts w:ascii="Times New Roman"/>
          <w:b w:val="false"/>
          <w:i w:val="false"/>
          <w:color w:val="000000"/>
          <w:sz w:val="28"/>
          <w:u w:val="single"/>
        </w:rPr>
        <w:t>
prima facia
</w:t>
      </w:r>
      <w:r>
        <w:rPr>
          <w:rFonts w:ascii="Times New Roman"/>
          <w:b w:val="false"/>
          <w:i w:val="false"/>
          <w:color w:val="000000"/>
          <w:sz w:val="28"/>
        </w:rPr>
        <w:t>
 того, что никакого фрахта или демереджа с него не причитается. Однако доказывание перевозчиком противного не допускается, если коносамент передал третьей стороне, включая грузополучателя, которая действовали добросовестно, полагаясь на отсутствие в коносаменте любого такого указания.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Гарантии грузоотправителя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Считается, что грузоотправитель гарантировал перевозчику точность представленных им для включения в коносамент данных относительно общего характера груза, его марок, числа мест, веса и количества. Грузоотправитель должен возместить перевозчику ущерб, явившийся результатом неточности этих данных. Грузоотправитель остается ответственным, даже если коносамент был им передан. Право перевозчика на такое возмещение никоим образом не ограничивает его ответственность по договору морской перевозки перед любым иным, чем грузоотправитель, лицом.
</w:t>
      </w:r>
      <w:r>
        <w:br/>
      </w:r>
      <w:r>
        <w:rPr>
          <w:rFonts w:ascii="Times New Roman"/>
          <w:b w:val="false"/>
          <w:i w:val="false"/>
          <w:color w:val="000000"/>
          <w:sz w:val="28"/>
        </w:rPr>
        <w:t>
      2. Любое гарантийное письмо или соглашение, по которому грузоотправитель обязуется возместить перевозчику ущерб, вытекающий из того, что перевозчик или лицо, действующее от его имени, выдадут коносамент без оговорок относительно данных, представленных грузоотправителем для включения в коносамент, либо относительно внешнего состояния груза, является недействительным в отношении любой третьей стороны, включая грузополучателя, которой был передан данный коносамент.
</w:t>
      </w:r>
      <w:r>
        <w:br/>
      </w:r>
      <w:r>
        <w:rPr>
          <w:rFonts w:ascii="Times New Roman"/>
          <w:b w:val="false"/>
          <w:i w:val="false"/>
          <w:color w:val="000000"/>
          <w:sz w:val="28"/>
        </w:rPr>
        <w:t>
      3. Такое гарантийное письмо или соглашение является действительным в отношении грузоотправителя, если только перевозчик или лицо, действующее от его имени, не делал оговорку, упомянутую в пункте 2 настоящей статьи, не имеет намерения обмануть третью сторону, включая грузополучателя, которая действует, полагаясь на описание груза, содержащееся в коносаменте. Если в последнем случае несделанная оговорка касается данных, представленных грузоотправителем для включения в коносамент, перевозчик не имеет права требовать от грузоотправителя возмещения ущерба в соответствии с пунктом 1 настоящей статьи.
</w:t>
      </w:r>
      <w:r>
        <w:br/>
      </w:r>
      <w:r>
        <w:rPr>
          <w:rFonts w:ascii="Times New Roman"/>
          <w:b w:val="false"/>
          <w:i w:val="false"/>
          <w:color w:val="000000"/>
          <w:sz w:val="28"/>
        </w:rPr>
        <w:t>
      4. В случае преднамеренного обмана, указанном в пункте 3 настоящей статьи, перевозчик несет ответственность, не пользуясь правом на ограничение ответственности, предусмотренное настоящей Конвенцией, за ущерб, понесенный третьей стороной, включая грузополучателя, из-за того, что она действовала, полагаясь на описание груза, содержащееся в коносаменте.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Другие документы, помимо коносаментов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Когда перевозчик выдает иной, чем коносамент, документ в подтверждение получения груза для перевозки, такой документ является доказательством 
</w:t>
      </w:r>
      <w:r>
        <w:rPr>
          <w:rFonts w:ascii="Times New Roman"/>
          <w:b w:val="false"/>
          <w:i w:val="false"/>
          <w:color w:val="000000"/>
          <w:sz w:val="28"/>
          <w:u w:val="single"/>
        </w:rPr>
        <w:t>
prima facie
</w:t>
      </w:r>
      <w:r>
        <w:rPr>
          <w:rFonts w:ascii="Times New Roman"/>
          <w:b w:val="false"/>
          <w:i w:val="false"/>
          <w:color w:val="000000"/>
          <w:sz w:val="28"/>
        </w:rPr>
        <w:t>
 заключения договора морской перевозки и приема перевозчиком груза, как он описан в этом документе.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V. ТРЕБОВАНИЯ И ИСКИ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Уведомление об утрате, повреждении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задержке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уведомление об утрате или повреждении, конкретно указывающее на общий характер такой утраты или повреждения, не сделано в письменной форме грузополучателем перевозчику не позднее рабочего дня, следующего за днем передачи груза грузополучателю, такая передача является доказательством 
</w:t>
      </w:r>
      <w:r>
        <w:rPr>
          <w:rFonts w:ascii="Times New Roman"/>
          <w:b w:val="false"/>
          <w:i w:val="false"/>
          <w:color w:val="000000"/>
          <w:sz w:val="28"/>
          <w:u w:val="single"/>
        </w:rPr>
        <w:t>
prima facie
</w:t>
      </w:r>
      <w:r>
        <w:rPr>
          <w:rFonts w:ascii="Times New Roman"/>
          <w:b w:val="false"/>
          <w:i w:val="false"/>
          <w:color w:val="000000"/>
          <w:sz w:val="28"/>
        </w:rPr>
        <w:t>
 сдачи перевозчиком груза в соответствии с описанием в транспортном документе или, если такой документ не выдавался, в хорошем состоянии.
</w:t>
      </w:r>
      <w:r>
        <w:br/>
      </w:r>
      <w:r>
        <w:rPr>
          <w:rFonts w:ascii="Times New Roman"/>
          <w:b w:val="false"/>
          <w:i w:val="false"/>
          <w:color w:val="000000"/>
          <w:sz w:val="28"/>
        </w:rPr>
        <w:t>
      2. Если утрата или повреждение не является очевидными, положения пункта 1 настоящей статьи применяются соответственно, если уведомление в письменной форме не сделано в течение 15 календарных дней после дня передачи груза грузополучателю.
</w:t>
      </w:r>
      <w:r>
        <w:br/>
      </w:r>
      <w:r>
        <w:rPr>
          <w:rFonts w:ascii="Times New Roman"/>
          <w:b w:val="false"/>
          <w:i w:val="false"/>
          <w:color w:val="000000"/>
          <w:sz w:val="28"/>
        </w:rPr>
        <w:t>
      3. Если состояние груза при его передаче было предметом совместного осмотра или проверки сторонами, уведомление в письменной форме не требуется в отношении утраты или повреждения, установленных во время такого осмотра или проверки.
</w:t>
      </w:r>
      <w:r>
        <w:br/>
      </w:r>
      <w:r>
        <w:rPr>
          <w:rFonts w:ascii="Times New Roman"/>
          <w:b w:val="false"/>
          <w:i w:val="false"/>
          <w:color w:val="000000"/>
          <w:sz w:val="28"/>
        </w:rPr>
        <w:t>
      4. В случае какой-либо фактической или предполагаемой утраты или повреждения перевозчик и грузополучатель предоставляет друг другу все разумные возможности для проверки и счета груза.
</w:t>
      </w:r>
      <w:r>
        <w:br/>
      </w:r>
      <w:r>
        <w:rPr>
          <w:rFonts w:ascii="Times New Roman"/>
          <w:b w:val="false"/>
          <w:i w:val="false"/>
          <w:color w:val="000000"/>
          <w:sz w:val="28"/>
        </w:rPr>
        <w:t>
      5. Никакая компенсация не подлежит уплате за ущерб, вызванный задержкой в сдаче, если уведомление в письменной форме не было сделано перевозчику в течение 60 календарных дней после дня передачи груза грузополучателю.
</w:t>
      </w:r>
      <w:r>
        <w:br/>
      </w:r>
      <w:r>
        <w:rPr>
          <w:rFonts w:ascii="Times New Roman"/>
          <w:b w:val="false"/>
          <w:i w:val="false"/>
          <w:color w:val="000000"/>
          <w:sz w:val="28"/>
        </w:rPr>
        <w:t>
      6. Если груз был сдан фактическим перевозчиком, любое уведомление, сделанное ему на основании настоящей статьи, имеет ту же силу, как если бы оно было сделано перевозчику, и любое уведомление, сделанное перевозчику, имеет силу, как если бы оно было сделано такому фактическому перевозчику.
</w:t>
      </w:r>
      <w:r>
        <w:br/>
      </w:r>
      <w:r>
        <w:rPr>
          <w:rFonts w:ascii="Times New Roman"/>
          <w:b w:val="false"/>
          <w:i w:val="false"/>
          <w:color w:val="000000"/>
          <w:sz w:val="28"/>
        </w:rPr>
        <w:t>
      7. Если уведомление об ущербе или повреждении, конкретно указывающее на общий характер этого ущерба или повреждения, не сделано в письменной форме перевозчиком или фактическим перевозчиком грузоотправителю не позднее 90 календарных дней после возникновения такого ущерба или повреждения или после сдачи груза в соответствии с пунктом 2 статьи 4, в зависимости от того, что имеет место позже, отсутствие уведомления является доказательством 
</w:t>
      </w:r>
      <w:r>
        <w:rPr>
          <w:rFonts w:ascii="Times New Roman"/>
          <w:b w:val="false"/>
          <w:i w:val="false"/>
          <w:color w:val="000000"/>
          <w:sz w:val="28"/>
          <w:u w:val="single"/>
        </w:rPr>
        <w:t>
prima facie
</w:t>
      </w:r>
      <w:r>
        <w:rPr>
          <w:rFonts w:ascii="Times New Roman"/>
          <w:b w:val="false"/>
          <w:i w:val="false"/>
          <w:color w:val="000000"/>
          <w:sz w:val="28"/>
        </w:rPr>
        <w:t>
 того, что перевозчик или фактический перевозчик не понес никакого ущерба или повреждения по вине грузоотправителя, его служащих или агентов.
</w:t>
      </w:r>
      <w:r>
        <w:br/>
      </w:r>
      <w:r>
        <w:rPr>
          <w:rFonts w:ascii="Times New Roman"/>
          <w:b w:val="false"/>
          <w:i w:val="false"/>
          <w:color w:val="000000"/>
          <w:sz w:val="28"/>
        </w:rPr>
        <w:t>
      8. Для целей настоящей статьи уведомление, которое сделано действующему от имени перевозчика или фактического перевозчика лицу, включая капитана или полномочного члена командного состава судна, либо лицу, действующему от имени грузоотправителя, считается сделанным соответственно перевозчику, фактическому перевозчику или грузоотправителю.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Исковая давность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иск в связи с перевозкой грузов по настоящей Конвенции погашается давностью, если судебное или арбитражное разбирательство не было начато в течение двух лет.
</w:t>
      </w:r>
      <w:r>
        <w:br/>
      </w:r>
      <w:r>
        <w:rPr>
          <w:rFonts w:ascii="Times New Roman"/>
          <w:b w:val="false"/>
          <w:i w:val="false"/>
          <w:color w:val="000000"/>
          <w:sz w:val="28"/>
        </w:rPr>
        <w:t>
      2. Срок исковой давности начинается в день, когда перевозчик сдал груз или часть груза, или в случаях, если груз вообще не был сдан, - в последний день, когда груз должен был быть сдан.
</w:t>
      </w:r>
      <w:r>
        <w:br/>
      </w:r>
      <w:r>
        <w:rPr>
          <w:rFonts w:ascii="Times New Roman"/>
          <w:b w:val="false"/>
          <w:i w:val="false"/>
          <w:color w:val="000000"/>
          <w:sz w:val="28"/>
        </w:rPr>
        <w:t>
      3. День, когда начинается срок исковой давности, не включается в этот срок.
</w:t>
      </w:r>
      <w:r>
        <w:br/>
      </w:r>
      <w:r>
        <w:rPr>
          <w:rFonts w:ascii="Times New Roman"/>
          <w:b w:val="false"/>
          <w:i w:val="false"/>
          <w:color w:val="000000"/>
          <w:sz w:val="28"/>
        </w:rPr>
        <w:t>
      4. Лицо, к которому предъявлено требование, может в любое время в течение срока исковой давности продлить этот срок путем заявления, сделанного в письменной форме заявителю требования. Этот срок может быть продлен путем другого заявления или заявлений.
</w:t>
      </w:r>
      <w:r>
        <w:br/>
      </w:r>
      <w:r>
        <w:rPr>
          <w:rFonts w:ascii="Times New Roman"/>
          <w:b w:val="false"/>
          <w:i w:val="false"/>
          <w:color w:val="000000"/>
          <w:sz w:val="28"/>
        </w:rPr>
        <w:t>
      5. Иск о возмещении может быть предъявлен любым лицом, признанным ответственным, даже по истечении срока исковой давности, предусмотренного в предыдущих пунктах, если он предъявляется в пределах срока, предоставленного по закону государства, в котором возбуждено разбирательство. Однако этот предоставляемый срок должен быть не менее 90 дней, начиная со дня, когда лицо, предъявляющее иск о возмещении, оплатило требование или получило повестку о возбуждении процесса против него самого.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Юрисдикция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судебного разбирательства, связанного с перевозкой груза на основании настоящей Конвенции, истец по своему выбору может предъявить иск в суде, который является компетентным в соответствии с законом государства суда и в пределах юрисдикции которого находится одно из следующих мест:
</w:t>
      </w:r>
      <w:r>
        <w:br/>
      </w:r>
      <w:r>
        <w:rPr>
          <w:rFonts w:ascii="Times New Roman"/>
          <w:b w:val="false"/>
          <w:i w:val="false"/>
          <w:color w:val="000000"/>
          <w:sz w:val="28"/>
        </w:rPr>
        <w:t>
      a) основное коммерческое предприятие или, при отсутствии такового, постоянное местожительство ответчика, или
</w:t>
      </w:r>
      <w:r>
        <w:br/>
      </w:r>
      <w:r>
        <w:rPr>
          <w:rFonts w:ascii="Times New Roman"/>
          <w:b w:val="false"/>
          <w:i w:val="false"/>
          <w:color w:val="000000"/>
          <w:sz w:val="28"/>
        </w:rPr>
        <w:t>
      b) место заключения договора при условии, что ответчик имеет там коммерческое предприятие, отделение или агентство, через посредство которого был заключен договор, или
</w:t>
      </w:r>
      <w:r>
        <w:br/>
      </w:r>
      <w:r>
        <w:rPr>
          <w:rFonts w:ascii="Times New Roman"/>
          <w:b w:val="false"/>
          <w:i w:val="false"/>
          <w:color w:val="000000"/>
          <w:sz w:val="28"/>
        </w:rPr>
        <w:t>
      c) порт погрузки или порт разгрузки, или
</w:t>
      </w:r>
      <w:r>
        <w:br/>
      </w:r>
      <w:r>
        <w:rPr>
          <w:rFonts w:ascii="Times New Roman"/>
          <w:b w:val="false"/>
          <w:i w:val="false"/>
          <w:color w:val="000000"/>
          <w:sz w:val="28"/>
        </w:rPr>
        <w:t>
      d) любое дополнительное место, указанное с этой целью в договоре морской перевозки.
</w:t>
      </w:r>
      <w:r>
        <w:br/>
      </w:r>
      <w:r>
        <w:rPr>
          <w:rFonts w:ascii="Times New Roman"/>
          <w:b w:val="false"/>
          <w:i w:val="false"/>
          <w:color w:val="000000"/>
          <w:sz w:val="28"/>
        </w:rPr>
        <w:t>
      2. а) Несмотря на предыдущие положения настоящей статьи, иск может быть предъявлен в судах любого порта или места в Договаривающемся государстве, где перевозившее груз судно или любое другое судно того же собственника может оказаться арестованным в соответствии с применимыми нормами права этого государства и международного права. Однако в таком случае по ходатайству ответчика лицо, заявляющее требование, должно перенести иск по своему выбору в один из судов, указанных в пункте 1 настоящей статьи, для рассмотрения этого требования по существу; однако до такого переноса иска ответчик должен предоставить гарантии, достаточные для обеспечения оплаты судебного решения, которое может быть впоследствии вынесено в пользу лица, заявляющего требование, по этому иску;
</w:t>
      </w:r>
      <w:r>
        <w:br/>
      </w:r>
      <w:r>
        <w:rPr>
          <w:rFonts w:ascii="Times New Roman"/>
          <w:b w:val="false"/>
          <w:i w:val="false"/>
          <w:color w:val="000000"/>
          <w:sz w:val="28"/>
        </w:rPr>
        <w:t>
      b) все вопросы, касающиеся достаточности или других аспектов обеспечения, определяются судом порта или места ареста.
</w:t>
      </w:r>
      <w:r>
        <w:br/>
      </w:r>
      <w:r>
        <w:rPr>
          <w:rFonts w:ascii="Times New Roman"/>
          <w:b w:val="false"/>
          <w:i w:val="false"/>
          <w:color w:val="000000"/>
          <w:sz w:val="28"/>
        </w:rPr>
        <w:t>
      3. Никакого судебного разбирательства, связанного с перевозкой груза на основании настоящей Конвенции, не может быть возбуждено в каком-либо месте, которое не указано в пункте 1 или 2 настоящей статьи. Положения настоящего пункта не препятствуют осуществлению юрисдикции Договаривающихся государств в отношении мер предварительного или обеспечительного характера.
</w:t>
      </w:r>
      <w:r>
        <w:br/>
      </w:r>
      <w:r>
        <w:rPr>
          <w:rFonts w:ascii="Times New Roman"/>
          <w:b w:val="false"/>
          <w:i w:val="false"/>
          <w:color w:val="000000"/>
          <w:sz w:val="28"/>
        </w:rPr>
        <w:t>
      4. а) В тех случаях, когда иск предъявлен в суде, являющемся компетентным в соответствии с пунктом 1 или 2 настоящей статьи, или когда таким судом вынесено решение, новый иск между теми же сторонами по тому же основанию не допускается, кроме тех случаев, когда решение суда, в котором был предъявлен первый иск, не подлежит приведению в исполнение в стране, в которой возбуждается новое разбирательство;
</w:t>
      </w:r>
      <w:r>
        <w:br/>
      </w:r>
      <w:r>
        <w:rPr>
          <w:rFonts w:ascii="Times New Roman"/>
          <w:b w:val="false"/>
          <w:i w:val="false"/>
          <w:color w:val="000000"/>
          <w:sz w:val="28"/>
        </w:rPr>
        <w:t>
      b) для целей настоящей статьи принятие мер по приведению в исполнение судебного решения не считается предъявлением нового иска;
</w:t>
      </w:r>
      <w:r>
        <w:br/>
      </w:r>
      <w:r>
        <w:rPr>
          <w:rFonts w:ascii="Times New Roman"/>
          <w:b w:val="false"/>
          <w:i w:val="false"/>
          <w:color w:val="000000"/>
          <w:sz w:val="28"/>
        </w:rPr>
        <w:t>
      c) для целей настоящей статьи перенос иска в другой суд в пределах той же страны или в суд в другой стране в соответствии с пунктом 2 "а" настоящей статьи не считается предъявлением нового иска.
</w:t>
      </w:r>
      <w:r>
        <w:br/>
      </w:r>
      <w:r>
        <w:rPr>
          <w:rFonts w:ascii="Times New Roman"/>
          <w:b w:val="false"/>
          <w:i w:val="false"/>
          <w:color w:val="000000"/>
          <w:sz w:val="28"/>
        </w:rPr>
        <w:t>
      5. Несмотря на положения предыдущих пунктов, имеет силу любое соглашение, которое заключено сторонами после возникновения требования, вытекающего из договора морской перевозки, и в котором определяется место, где лицо, заявляющее требование, может предъявить иск.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Арбитражное разбирательство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условии соблюдения положений настоящей статьи стороны могут предусмотреть путем соглашения, подтвержденного в письменной форме, что любой спор, который может возникнуть в связи с перевозкой груза на основания настоящей Конвенции, подлежит передаче в арбитраж.
</w:t>
      </w:r>
      <w:r>
        <w:br/>
      </w:r>
      <w:r>
        <w:rPr>
          <w:rFonts w:ascii="Times New Roman"/>
          <w:b w:val="false"/>
          <w:i w:val="false"/>
          <w:color w:val="000000"/>
          <w:sz w:val="28"/>
        </w:rPr>
        <w:t>
      2. Когда в чартере содержится положение о том, что связанные с ним споры подлежат передаче в арбитраж, а в коносаменте, выданном согласно чартеру, не содержится специальной пометки о том, что такое положение является обязательным для держателя коносамента, перевозчик не может использовать такое положение против держателя, добросовестно приобретшего этот коносамент.
</w:t>
      </w:r>
      <w:r>
        <w:br/>
      </w:r>
      <w:r>
        <w:rPr>
          <w:rFonts w:ascii="Times New Roman"/>
          <w:b w:val="false"/>
          <w:i w:val="false"/>
          <w:color w:val="000000"/>
          <w:sz w:val="28"/>
        </w:rPr>
        <w:t>
      3. Арбитражное разбирательство по выбору лица, заявляющего требование, проводится в одном из следующих мест:
</w:t>
      </w:r>
      <w:r>
        <w:br/>
      </w:r>
      <w:r>
        <w:rPr>
          <w:rFonts w:ascii="Times New Roman"/>
          <w:b w:val="false"/>
          <w:i w:val="false"/>
          <w:color w:val="000000"/>
          <w:sz w:val="28"/>
        </w:rPr>
        <w:t>
      a) в каком либо месте государства, на территории которого находится:
</w:t>
      </w:r>
      <w:r>
        <w:br/>
      </w:r>
      <w:r>
        <w:rPr>
          <w:rFonts w:ascii="Times New Roman"/>
          <w:b w:val="false"/>
          <w:i w:val="false"/>
          <w:color w:val="000000"/>
          <w:sz w:val="28"/>
        </w:rPr>
        <w:t>
      i) основное коммерческое предприятие ответчика или, при отсутствии такового, постоянное местожительство ответчика; или
</w:t>
      </w:r>
      <w:r>
        <w:br/>
      </w:r>
      <w:r>
        <w:rPr>
          <w:rFonts w:ascii="Times New Roman"/>
          <w:b w:val="false"/>
          <w:i w:val="false"/>
          <w:color w:val="000000"/>
          <w:sz w:val="28"/>
        </w:rPr>
        <w:t>
      ii) место заключения договора при условии, что ответчик имеет там коммерческое предприятие, отделение или агентство, через которое был заключен договор; или
</w:t>
      </w:r>
      <w:r>
        <w:br/>
      </w:r>
      <w:r>
        <w:rPr>
          <w:rFonts w:ascii="Times New Roman"/>
          <w:b w:val="false"/>
          <w:i w:val="false"/>
          <w:color w:val="000000"/>
          <w:sz w:val="28"/>
        </w:rPr>
        <w:t>
      iii) порт погрузки или порт разгрузки; или
</w:t>
      </w:r>
      <w:r>
        <w:br/>
      </w:r>
      <w:r>
        <w:rPr>
          <w:rFonts w:ascii="Times New Roman"/>
          <w:b w:val="false"/>
          <w:i w:val="false"/>
          <w:color w:val="000000"/>
          <w:sz w:val="28"/>
        </w:rPr>
        <w:t>
      b) любое место, указанное с этой целью в арбитражной оговорке или в соглашении.
</w:t>
      </w:r>
      <w:r>
        <w:br/>
      </w:r>
      <w:r>
        <w:rPr>
          <w:rFonts w:ascii="Times New Roman"/>
          <w:b w:val="false"/>
          <w:i w:val="false"/>
          <w:color w:val="000000"/>
          <w:sz w:val="28"/>
        </w:rPr>
        <w:t>
      4. Арбитр или арбитражный суд обязаны применять правила настоящей Конвенции.
</w:t>
      </w:r>
      <w:r>
        <w:br/>
      </w:r>
      <w:r>
        <w:rPr>
          <w:rFonts w:ascii="Times New Roman"/>
          <w:b w:val="false"/>
          <w:i w:val="false"/>
          <w:color w:val="000000"/>
          <w:sz w:val="28"/>
        </w:rPr>
        <w:t>
      5. Положения пунктов 3 и 4 настоящей статьи считаются составной частью любой арбитражной оговорки или соглашения, и любое условие такой оговорки или соглашения, несовместимое с этими положениями, является ничтожным.
</w:t>
      </w:r>
      <w:r>
        <w:br/>
      </w:r>
      <w:r>
        <w:rPr>
          <w:rFonts w:ascii="Times New Roman"/>
          <w:b w:val="false"/>
          <w:i w:val="false"/>
          <w:color w:val="000000"/>
          <w:sz w:val="28"/>
        </w:rPr>
        <w:t>
      6. Ничто в настоящей статье не затрагивает действительности соглашения об арбитраже, заключенного сторонами после возникновения требования из договора морской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VI. ДОПОЛНИТЕЛЬНЫЕ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Договорные условия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Любое условие в договоре морской перевозки или коносаменте, или любом другом документе, подтверждающем договор морской перевозки, является ничтожным в той степени, в какой оно противоречит прямо или косвенно положениям настоящей Конвенции. Недействительность такого условия не затрагивает действительность других положений договора или документа, частью которого оно является. Оговорка о передаче в пользу перевозчика прав страхования груза или любая аналогичная оговорка являются ничтожными.
</w:t>
      </w:r>
      <w:r>
        <w:br/>
      </w:r>
      <w:r>
        <w:rPr>
          <w:rFonts w:ascii="Times New Roman"/>
          <w:b w:val="false"/>
          <w:i w:val="false"/>
          <w:color w:val="000000"/>
          <w:sz w:val="28"/>
        </w:rPr>
        <w:t>
      2. Несмотря на положения пункта 1 настоящей статьи перевозчик может увеличить свою ответственность и обязательства по настоящей Конвенции.
</w:t>
      </w:r>
      <w:r>
        <w:br/>
      </w:r>
      <w:r>
        <w:rPr>
          <w:rFonts w:ascii="Times New Roman"/>
          <w:b w:val="false"/>
          <w:i w:val="false"/>
          <w:color w:val="000000"/>
          <w:sz w:val="28"/>
        </w:rPr>
        <w:t>
      3. В тех случаях, когда выдается коносамент или любой другой документ, подтверждающий договор морской перевозки, он должен включать указание о том, что перевозка регулируется положениями настоящей Конвенции, которые лишают юридической силы любое условие, противоречащее этим положениям в ущерб грузоотправителю или грузополучателю.
</w:t>
      </w:r>
      <w:r>
        <w:br/>
      </w:r>
      <w:r>
        <w:rPr>
          <w:rFonts w:ascii="Times New Roman"/>
          <w:b w:val="false"/>
          <w:i w:val="false"/>
          <w:color w:val="000000"/>
          <w:sz w:val="28"/>
        </w:rPr>
        <w:t>
      4. В тех случаях, когда лицо, заявляющее требование по поводу груза, понесло ущерб в связи с условием, являющимся в силу настоящей статьи ничтожным, или в результате отсутствия упомянутого в пункте 3 настоящей статьи указания, перевозчик должен выплатить компенсацию в требуемых размерах, с тем чтобы возместить этому лицу в соответствии с положениями настоящей Конвенции любую утрату или повреждение груза, а также задержку в сдаче. Перевозчик должен, кроме того, выплатить компенсацию за издержки, понесенные этим лицом в целях осуществления своего права, при условии, что издержки, понесенные в связи с иском на основе вышеизложенного положения, определяются в соответствии с законом государства, в котором возбуждено разбирательство.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Общая авария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настоящей Конвенции не препятствует применению положений договора морской перевозки или национального права, касающихся распределения убытков по общей аварии.
</w:t>
      </w:r>
      <w:r>
        <w:br/>
      </w:r>
      <w:r>
        <w:rPr>
          <w:rFonts w:ascii="Times New Roman"/>
          <w:b w:val="false"/>
          <w:i w:val="false"/>
          <w:color w:val="000000"/>
          <w:sz w:val="28"/>
        </w:rPr>
        <w:t>
      2. За исключением статьи 20, положения настоящей Конвенции, касающиеся ответственности перевозчика за утрату или повреждение груза, определяют также, может ли грузополучатель отказаться от уплаты взноса по общей аварии, и обязанность перевозчика компенсировать грузополучателю оплату им такого взноса или расходов по спасанию.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Другие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не меняет прав или обязанностей перевозчика, фактического перевозчика и их служащих и агентов, предусмотренных в международных конвенциях или национальном законодательстве по вопросам ограничения ответственности владельцев морских судов.
</w:t>
      </w:r>
      <w:r>
        <w:br/>
      </w:r>
      <w:r>
        <w:rPr>
          <w:rFonts w:ascii="Times New Roman"/>
          <w:b w:val="false"/>
          <w:i w:val="false"/>
          <w:color w:val="000000"/>
          <w:sz w:val="28"/>
        </w:rPr>
        <w:t>
      2. Положения статей 21 и 22 настоящей Конвенции не препятствуют применению императивных положений какой-либо другой многосторонней конвенции, действующей на дату настоящей Конвенции, которые касаются вопросов, регулируемых в указанных статьях, при условии, что спор возникает исключительно между сторонами, имеющими свои основные коммерческие предприятия в государствах-участниках такой другой конвенции. Однако настоящий пункт не затрагивает применение пункта 4 статьи 22 настоящей Конвенции.
</w:t>
      </w:r>
      <w:r>
        <w:br/>
      </w:r>
      <w:r>
        <w:rPr>
          <w:rFonts w:ascii="Times New Roman"/>
          <w:b w:val="false"/>
          <w:i w:val="false"/>
          <w:color w:val="000000"/>
          <w:sz w:val="28"/>
        </w:rPr>
        <w:t>
      3. На основании положений настоящей Конвенции не возникает никакой ответственности за ущерб, причиненный ядерным инцидентом, если оператор ядерной установки несет ответственность за такой ущерб:
</w:t>
      </w:r>
      <w:r>
        <w:br/>
      </w:r>
      <w:r>
        <w:rPr>
          <w:rFonts w:ascii="Times New Roman"/>
          <w:b w:val="false"/>
          <w:i w:val="false"/>
          <w:color w:val="000000"/>
          <w:sz w:val="28"/>
        </w:rPr>
        <w:t>
      a) в соответствии либо с Парижской конвенцией от 29 июля 1960 года об ответственности третьих лиц в области ядерной энергии с поправками к ней, содержащимися в Дополнительном протоколе от 28 января 1964 года, либо в соответствии с Венской конвенцией от 21 мая 1963 года о гражданской ответственности за ядерный, ущерб, или
</w:t>
      </w:r>
      <w:r>
        <w:br/>
      </w:r>
      <w:r>
        <w:rPr>
          <w:rFonts w:ascii="Times New Roman"/>
          <w:b w:val="false"/>
          <w:i w:val="false"/>
          <w:color w:val="000000"/>
          <w:sz w:val="28"/>
        </w:rPr>
        <w:t>
      b) в соответствии с национальным законодательством, регулирующим ответственность за такой ущерб, при условии, что такое законодательство во всех отношениях является таким же благоприятным для лиц, которые могут понести ущерб, как и Парижская или Венская конвенции.
</w:t>
      </w:r>
      <w:r>
        <w:br/>
      </w:r>
      <w:r>
        <w:rPr>
          <w:rFonts w:ascii="Times New Roman"/>
          <w:b w:val="false"/>
          <w:i w:val="false"/>
          <w:color w:val="000000"/>
          <w:sz w:val="28"/>
        </w:rPr>
        <w:t>
      4. На основании положений настоящей Конвенции не возникает никакой ответственности за утрату, повреждение или задержку в сдаче багажа, за которые перевозчик отвечает согласно какой-либо международной конвенции или национальному законодательству, касающимся морской перевозки пассажиров и их багажа.
</w:t>
      </w:r>
      <w:r>
        <w:br/>
      </w:r>
      <w:r>
        <w:rPr>
          <w:rFonts w:ascii="Times New Roman"/>
          <w:b w:val="false"/>
          <w:i w:val="false"/>
          <w:color w:val="000000"/>
          <w:sz w:val="28"/>
        </w:rPr>
        <w:t>
      5. Ничто в настоящей Конвенции не препятствует Договаривающимся государствам применять какую-либо другую международную конвенцию, которая уже действует на дату настоящей Конвенции и которая применяется императивным образом к договорам перевозки груза главным образом неморским транспортом. Настоящее положение применяется также в отношении любого последующего пересмотра или изменения такой международной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Расчетная единица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Расчетная единица, упоминаемая в статье 6 настоящей Конвенции, является единицей "специального права заимствования", как она определена Международным валютным фондом. Суммы, указанные в статье 6, переводятся в национальную валюту государства в соответствии со стоимостью этой валюты на дату судебного решения или на дату, согласованную сторонами. Стоимость в единицах "специального права заимствования" национальной валюты Договаривающегося государства, которое является членом Международного валютного фонда, исчисляется в соответствии с методом определения стоимости, применяемым Международным валютным фондом на соответствующую дату для его собственных операций и расчетов. Стоимость в единицах "специального права заимствования" национальной валюты Договаривающегося государства, которое не является членом Международного валютного фонда, исчисляется способом, установленным этим государством.
</w:t>
      </w:r>
      <w:r>
        <w:br/>
      </w:r>
      <w:r>
        <w:rPr>
          <w:rFonts w:ascii="Times New Roman"/>
          <w:b w:val="false"/>
          <w:i w:val="false"/>
          <w:color w:val="000000"/>
          <w:sz w:val="28"/>
        </w:rPr>
        <w:t>
      2. Тем не менее государства, которые не являются членами Международного валютного фонда и законодательство которых не позволяет применять положения пункта 1 настоящей статьи, могут во время подписания либо во время ратификации, принятия, утверждения или присоединения, либо в любое время после этого заявить, что пределы ответственности, предусмотренные в настоящей Конвенции и применяемые на их территории, устанавливаются в размере:
</w:t>
      </w:r>
      <w:r>
        <w:br/>
      </w:r>
      <w:r>
        <w:rPr>
          <w:rFonts w:ascii="Times New Roman"/>
          <w:b w:val="false"/>
          <w:i w:val="false"/>
          <w:color w:val="000000"/>
          <w:sz w:val="28"/>
        </w:rPr>
        <w:t>
      12 500 валютных единиц за место или другую единицу отгрузки или 37,5 валютных единиц за один килограмм веса брутто груза.
</w:t>
      </w:r>
      <w:r>
        <w:br/>
      </w:r>
      <w:r>
        <w:rPr>
          <w:rFonts w:ascii="Times New Roman"/>
          <w:b w:val="false"/>
          <w:i w:val="false"/>
          <w:color w:val="000000"/>
          <w:sz w:val="28"/>
        </w:rPr>
        <w:t>
      3. Валютная единица, упомянутая в пункте 2 настоящей статьи, соответствует шестидесяти пяти с половиной миллиграммам золота пробы девятьсот тысячных. Перевод в национальную валюту сумм, упомянутых в пункте 2, осуществляется согласно законодательству соответствующего государства.
</w:t>
      </w:r>
      <w:r>
        <w:br/>
      </w:r>
      <w:r>
        <w:rPr>
          <w:rFonts w:ascii="Times New Roman"/>
          <w:b w:val="false"/>
          <w:i w:val="false"/>
          <w:color w:val="000000"/>
          <w:sz w:val="28"/>
        </w:rPr>
        <w:t>
      4. Исчисление, упомянутое в последней фразе пункта 1, и перевод, упомянутый в пункте 3 настоящей статьи, осуществляются таким образом, чтобы выразить в национальной валюте Договаривающегося государства, насколько это возможно, ту же реальную ценность сумм, указанных в статье 6, какая выражена в этой статье в расчетных единицах. Договаривающиеся государства сообщают депозитарию способ исчисления согласно пункту 1 настоящей статьи или, в соответствующем случае, результат перевода, упомянутый в пункте 3 настоящей статьи, во время подписания или при сдаче на хранение своих ратификационных грамот, документов о принятии, утверждении или присоединении, либо при использовании права выбора, предусмотренного в пункте 2 настоящей статьи, и затем каждый раз, когда происходит изменение в этом способе или в результатах перевода.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VII.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секретарь Организации Объединенных Наций настоящим назначается депозитарием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Подписание, ратификация, принятие,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утверждение,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открыта для подписания всеми государствами до 30 апреля 1979 года в Центральных учреждениях Организации Объединенных Наций, Нью-Йорк.
</w:t>
      </w:r>
      <w:r>
        <w:br/>
      </w:r>
      <w:r>
        <w:rPr>
          <w:rFonts w:ascii="Times New Roman"/>
          <w:b w:val="false"/>
          <w:i w:val="false"/>
          <w:color w:val="000000"/>
          <w:sz w:val="28"/>
        </w:rPr>
        <w:t>
      2. Настоящая Конвенция подлежит ратификации, принятию или утверждению подписавшими ее государствами.
</w:t>
      </w:r>
      <w:r>
        <w:br/>
      </w:r>
      <w:r>
        <w:rPr>
          <w:rFonts w:ascii="Times New Roman"/>
          <w:b w:val="false"/>
          <w:i w:val="false"/>
          <w:color w:val="000000"/>
          <w:sz w:val="28"/>
        </w:rPr>
        <w:t>
      3. После 30 апреля 1979 года настоящая Конвенция будет открыта для присоединения для всех не подписавших ее государств.
</w:t>
      </w:r>
      <w:r>
        <w:br/>
      </w:r>
      <w:r>
        <w:rPr>
          <w:rFonts w:ascii="Times New Roman"/>
          <w:b w:val="false"/>
          <w:i w:val="false"/>
          <w:color w:val="000000"/>
          <w:sz w:val="28"/>
        </w:rPr>
        <w:t>
      4. Ратификационные грамоты, документы о принятии, утверждении и присоединении сдаются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Оговорки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Никакие оговорки не могут быть сделаны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с первого дня месяца по истечении одного года после даты сдачи на хранение двадцатой ратификационной грамоты или документа о принятии, утверждении или присоединении.
</w:t>
      </w:r>
      <w:r>
        <w:br/>
      </w:r>
      <w:r>
        <w:rPr>
          <w:rFonts w:ascii="Times New Roman"/>
          <w:b w:val="false"/>
          <w:i w:val="false"/>
          <w:color w:val="000000"/>
          <w:sz w:val="28"/>
        </w:rPr>
        <w:t>
      2. Для каждого государства, становящегося Договаривающимся государством настоящей Конвенции после даты сдачи на хранение двадцатой ратификационной грамоты или документа о принятии, утверждении или присоединении, настоящая Конвенция вступает в силу с первого дня месяца, следующего за истечением одного года после сдачи на хранение соответствующего документа от имени этого государства.
</w:t>
      </w:r>
      <w:r>
        <w:br/>
      </w:r>
      <w:r>
        <w:rPr>
          <w:rFonts w:ascii="Times New Roman"/>
          <w:b w:val="false"/>
          <w:i w:val="false"/>
          <w:color w:val="000000"/>
          <w:sz w:val="28"/>
        </w:rPr>
        <w:t>
      3. Каждое Договаривающееся государство применяет положения настоящей Конвенции к договорам морской перевозки, заключенным в день или после дня вступления в силу настоящей Конвенции в отношении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Денонсация других конвенций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Любое государство, являющееся стороной Международной конвенции для унификации некоторых правил, касающихся коносаментов, подписанной в Брюсселе 25 августа 1924 года (Конвенция 1924 года), став Договаривающимся государством настоящей Конвенции, уведомляет правительство Бельгии как депозитария Конвенции 1924 года о своей денонсации указанной Конвенции заявлением о том, что эта денонсация приобретает силу со дня вступления настоящей Конвенции в силу в отношении данного государства.
</w:t>
      </w:r>
      <w:r>
        <w:br/>
      </w:r>
      <w:r>
        <w:rPr>
          <w:rFonts w:ascii="Times New Roman"/>
          <w:b w:val="false"/>
          <w:i w:val="false"/>
          <w:color w:val="000000"/>
          <w:sz w:val="28"/>
        </w:rPr>
        <w:t>
      2. После вступления в силу настоящей Конвенции в соответствии с пунктом 1 статьи 30 депозитарий настоящей Конвенции уведомляет правительство Бельгии как депозитария Конвенции 1924 года о дате такого вступления в силу и сообщает список Договаривающихся государств, в отношении которых настоящая Конвенция вступила в силу.
</w:t>
      </w:r>
      <w:r>
        <w:br/>
      </w:r>
      <w:r>
        <w:rPr>
          <w:rFonts w:ascii="Times New Roman"/>
          <w:b w:val="false"/>
          <w:i w:val="false"/>
          <w:color w:val="000000"/>
          <w:sz w:val="28"/>
        </w:rPr>
        <w:t>
      3. Положения пунктов 1 и 2 настоящей статьи применяются соответственно в отношении государств-участников подписанного 23 февраля 1968 года Протокола о поправках к Международной конвенции для унификации некоторых правил, касавшихся коносаментов, подписанной 25 августа 1924 года в Брюсселе.
</w:t>
      </w:r>
      <w:r>
        <w:br/>
      </w:r>
      <w:r>
        <w:rPr>
          <w:rFonts w:ascii="Times New Roman"/>
          <w:b w:val="false"/>
          <w:i w:val="false"/>
          <w:color w:val="000000"/>
          <w:sz w:val="28"/>
        </w:rPr>
        <w:t>
      4. Несмотря на статью 2 настоящей Конвенции, для целей пункта 1 настоящей статьи Договаривающееся государство может, если сочтет это желательным, отсрочить денонсацию Конвенции 1924 года и Конвенции 1924 года с внесенными в нее Протоколом 1968 года поправками максимально на срок в пять лет с даты вступления в силу настоящей Конвенции. В этом случае оно уведомляет правительство Бельгии о своем намерении. В течение переходного периода оно должно применять в отношении Договаривающихся государств исключительно настоящую Конвенцию.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Пересмотр и внесение поправок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просьбе не менее чем одной трети Договаривающихся государств настоящей Конвенции депозитарий созывает конференцию Договаривающихся государств для пересмотра ее или внесения в нее поправок.
</w:t>
      </w:r>
      <w:r>
        <w:br/>
      </w:r>
      <w:r>
        <w:rPr>
          <w:rFonts w:ascii="Times New Roman"/>
          <w:b w:val="false"/>
          <w:i w:val="false"/>
          <w:color w:val="000000"/>
          <w:sz w:val="28"/>
        </w:rPr>
        <w:t>
      2. Считается, что любая ратификационная грамота и любой документ о принятии, утверждении или присоединении, сданные на хранение после вступления в силу поправки к настоящей Конвенции, относятся к Конвенции с внесенными в нее поправками.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Пересмотр сумм ограничения и расчетной единицы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валютной единицы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статьи 32, конференция, имеющая целью только пересмотр сумм, установленных в статье 6 и в пункте 2 статьи 26, или замену одной или обеих единиц, определенных в пунктах 1 и 3 статьи 26, другими единицами, созывается депозитарием в соответствия с пунктом 2 настоящей статьи. Пересмотр сумм производится только вследствие значительного изменения их реальной ценности.
</w:t>
      </w:r>
      <w:r>
        <w:br/>
      </w:r>
      <w:r>
        <w:rPr>
          <w:rFonts w:ascii="Times New Roman"/>
          <w:b w:val="false"/>
          <w:i w:val="false"/>
          <w:color w:val="000000"/>
          <w:sz w:val="28"/>
        </w:rPr>
        <w:t>
      2. Конференция по пересмотру должна созываться депозитарием, когда об этом просит не менее одной четверти Договаривающихся государств.
</w:t>
      </w:r>
      <w:r>
        <w:br/>
      </w:r>
      <w:r>
        <w:rPr>
          <w:rFonts w:ascii="Times New Roman"/>
          <w:b w:val="false"/>
          <w:i w:val="false"/>
          <w:color w:val="000000"/>
          <w:sz w:val="28"/>
        </w:rPr>
        <w:t>
      3. Любое решение конференции должно приниматься большинством в две трети участвующих государств. Депозитарий сообщает о поправке всем Договаривающимся государствам для принятия и всем государствам, подписавшим Конвенцию, для информации.
</w:t>
      </w:r>
      <w:r>
        <w:br/>
      </w:r>
      <w:r>
        <w:rPr>
          <w:rFonts w:ascii="Times New Roman"/>
          <w:b w:val="false"/>
          <w:i w:val="false"/>
          <w:color w:val="000000"/>
          <w:sz w:val="28"/>
        </w:rPr>
        <w:t>
      4. Любая утвержденная поправка вступает в силу с первого дня месяца по истечении одного года после ее принятия двумя третями Договаривающихся государств. Принятие осуществляется путем сдачи официального документа об этом на хранение депозитарию.
</w:t>
      </w:r>
      <w:r>
        <w:br/>
      </w:r>
      <w:r>
        <w:rPr>
          <w:rFonts w:ascii="Times New Roman"/>
          <w:b w:val="false"/>
          <w:i w:val="false"/>
          <w:color w:val="000000"/>
          <w:sz w:val="28"/>
        </w:rPr>
        <w:t>
      5. После вступления в силу поправки Договаривающееся государство, принявшее эту поправку, имеет право применять Конвенцию с внесенными в нее поправками в отношениях с Договаривающимися государствами, которые в течение шести месяцев после утверждения поправки не уведомили депозитария о том, что они не считают себя связанными этой поправкой.
</w:t>
      </w:r>
      <w:r>
        <w:br/>
      </w:r>
      <w:r>
        <w:rPr>
          <w:rFonts w:ascii="Times New Roman"/>
          <w:b w:val="false"/>
          <w:i w:val="false"/>
          <w:color w:val="000000"/>
          <w:sz w:val="28"/>
        </w:rPr>
        <w:t>
      6. Считается, что любая ратификационная грамота и любой документ о принятии, утверждении или присоединении, сданные на хранение после вступления в силу поправки к настоящей Конвенции, относятся к Конвенции с внесенными в нее поправками.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может быть в любое время денонсирована Договаривающимся государством путем направления депозитарию письменного уведомления.
</w:t>
      </w:r>
      <w:r>
        <w:br/>
      </w:r>
      <w:r>
        <w:rPr>
          <w:rFonts w:ascii="Times New Roman"/>
          <w:b w:val="false"/>
          <w:i w:val="false"/>
          <w:color w:val="000000"/>
          <w:sz w:val="28"/>
        </w:rPr>
        <w:t>
      2. Денонсация приобретает силу с первого дня месяца по истечении одного года после получения депозитарием такого уведомления. Если в уведомлении указан более длительный срок, то денонсация приобретает силу по истечении этого срока после получения депозитарием такого уведомления.
</w:t>
      </w:r>
      <w:r>
        <w:br/>
      </w:r>
      <w:r>
        <w:rPr>
          <w:rFonts w:ascii="Times New Roman"/>
          <w:b w:val="false"/>
          <w:i w:val="false"/>
          <w:color w:val="000000"/>
          <w:sz w:val="28"/>
        </w:rPr>
        <w:t>
      СОВЕРШЕНО в Гамбурге тридцать первого марта тысяча девятьсот семьдесят восьмого года в единственном экземпляре, тексты которого на английском, арабском, испанском, китайском, русском и французском языках является равно аутентичными.
</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на то уполномоченные правительствами своих стран, подписали настоящую Конвенцию.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ЗАКЛЮЧИТЕЛЬНЫЙ АКТ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КОНФЕРЕНЦИИ ОРГАНИЗАЦИИ ОБЪЕДИНЕННЫХ НАЦИЙ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МОРСКОЙ ПЕРЕВОЗКЕ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Генеральная Ассамблея Организации Объединенных Наций, рассмотрев главу IV доклада Комиссии Организации Объединенных Наций по праву международной торговли о работе ее девятой сессии, состоявшейся в 1976 году, в которой содержится проект Конвенции о морской перевозке грузов, постановила своей резолюцией 31/100 от 15 декабря 1976 года созвать международную конференцию полномочных представителей в 1978 году в Нью-Йорке или в любом другом удобном месте, в отношении которого Генеральный секретарь может получить приглашение, для рассмотрения вопроса о морской перевозке грузов и закрепления результатов работы в международной конвенции и других таких документах, которые она может счесть необходимыми. Впоследствии Генеральный секретарь получил и принял приглашение правительства Федеративной Республики Германии провести такую конференцию в Гамбурге.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Конференция Организации Объединенных Наций по морской перевозке грузов была проведена с 6 по 31 марта 1978 года в Гамбурге, Федеративная Республика Германии.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Конференции были представлены следующие 78 государств: Австралия, Австрия, Алжир, Аргентина, Бангладеш, Белорусская Советская Социалистическая Республика, Бельгия, Берег Слоновой Кости, Болгария, Боливия, Бразилия, Ватикан, Венгрия, Венесуэла, Габон, Гана, Германская Демократическая Республика, Федеративная Республика Германии, Гондурас, Греция, Дания, Демократический Йемен, Египет, Заир, Индия, Индонезия, Ирак, Иран, Ирландия, Испания, Италия, Канада, Кения, Колумбия, Корейская Республика, Куба, Кувейт, Либерия, Маврикий, Мадагаскар, Малайзия, Мексика, Нигерия, Нидерланды, Норвегия, Объединенная Республика Камерун, Объединенная Республика Танзания, Оман, Пакистан, Панама, Перу, Польша, Португалия, Румыния, Сенегал, Сингапур, Сирийская Арабская Республика, Соединенное Королевство Великобритании и Северной Ирландии, Соединенные Штаты Америки, Союз Советских Социалистических Республик, Сьерра-Леоне, Таиланд, Тринидад и Тобаго, Тунис, Турция, Уганда, Украинская Советская Социалистическая Республика, Филиппины, Финляндия, Франция, Чехословакия, Чили, Швейцария, Швеция, Эквадор, Югославия, Ямайка и Япония.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Одно государство, Гватемала, направило на Конференцию своего наблюдателя.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5. Генеральная Ассамблея обратилась к Генеральному секретарю с просьбой пригласить представителей организаций, которые получили постоянное приглашение Генеральной Ассамблеи участвовать в качестве наблюдателей в сессиях и в работе всех международных конференций, созываемых под ее эгидой, в соответствии с резолюцией 3237 (XXIX) Генеральной Ассамблеи от 22 ноября 1974 года; пригласить представителей национально-освободительных движений, признаваемых Организацией африканского единства в ее районе, участвовать в качестве наблюдателей в соответствии с резолюцией 3280 (XXIX) Генеральной Ассамблеи от 10 декабря 1974 года и пригласить специализированные учреждения и Международное агентство по атомной энергии, а также заинтересованные органы Организации Объединенных Наций и другие заинтересованные межправительственные и неправительственные организации направить своих представителей на Конференцию в качестве наблюдателей. Приведенные ниже межправительственные и неправительственные организации приняли это предложение и направили на Конференцию своих наблюдателей: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Специализированные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Международный валютный фонд
</w:t>
      </w:r>
      <w:r>
        <w:br/>
      </w:r>
      <w:r>
        <w:rPr>
          <w:rFonts w:ascii="Times New Roman"/>
          <w:b w:val="false"/>
          <w:i w:val="false"/>
          <w:color w:val="000000"/>
          <w:sz w:val="28"/>
        </w:rPr>
        <w:t>
      Межправительственная морская консультативная организация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Органы Организации Объединенных Наций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 Организации Объединенных Наций по торговле и развитию
</w:t>
      </w:r>
      <w:r>
        <w:br/>
      </w:r>
      <w:r>
        <w:rPr>
          <w:rFonts w:ascii="Times New Roman"/>
          <w:b w:val="false"/>
          <w:i w:val="false"/>
          <w:color w:val="000000"/>
          <w:sz w:val="28"/>
        </w:rPr>
        <w:t>
      Экономическая комиссия для Африки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Другие межправительственные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Сообщество и Общий рынок стран Карибского района
</w:t>
      </w:r>
      <w:r>
        <w:br/>
      </w:r>
      <w:r>
        <w:rPr>
          <w:rFonts w:ascii="Times New Roman"/>
          <w:b w:val="false"/>
          <w:i w:val="false"/>
          <w:color w:val="000000"/>
          <w:sz w:val="28"/>
        </w:rPr>
        <w:t>
      Центральное бюро международных железнодорожных перевозок
</w:t>
      </w:r>
      <w:r>
        <w:br/>
      </w:r>
      <w:r>
        <w:rPr>
          <w:rFonts w:ascii="Times New Roman"/>
          <w:b w:val="false"/>
          <w:i w:val="false"/>
          <w:color w:val="000000"/>
          <w:sz w:val="28"/>
        </w:rPr>
        <w:t>
      Европейский совет
</w:t>
      </w:r>
      <w:r>
        <w:br/>
      </w:r>
      <w:r>
        <w:rPr>
          <w:rFonts w:ascii="Times New Roman"/>
          <w:b w:val="false"/>
          <w:i w:val="false"/>
          <w:color w:val="000000"/>
          <w:sz w:val="28"/>
        </w:rPr>
        <w:t>
      Организация экономического сотрудничества и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Неправительственные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Балтийская и международная морская конференция
</w:t>
      </w:r>
      <w:r>
        <w:br/>
      </w:r>
      <w:r>
        <w:rPr>
          <w:rFonts w:ascii="Times New Roman"/>
          <w:b w:val="false"/>
          <w:i w:val="false"/>
          <w:color w:val="000000"/>
          <w:sz w:val="28"/>
        </w:rPr>
        <w:t>
      Международная торговая палата
</w:t>
      </w:r>
      <w:r>
        <w:br/>
      </w:r>
      <w:r>
        <w:rPr>
          <w:rFonts w:ascii="Times New Roman"/>
          <w:b w:val="false"/>
          <w:i w:val="false"/>
          <w:color w:val="000000"/>
          <w:sz w:val="28"/>
        </w:rPr>
        <w:t>
      Международная палата по судоходству
</w:t>
      </w:r>
      <w:r>
        <w:br/>
      </w:r>
      <w:r>
        <w:rPr>
          <w:rFonts w:ascii="Times New Roman"/>
          <w:b w:val="false"/>
          <w:i w:val="false"/>
          <w:color w:val="000000"/>
          <w:sz w:val="28"/>
        </w:rPr>
        <w:t>
      Международный морской комитет
</w:t>
      </w:r>
      <w:r>
        <w:br/>
      </w:r>
      <w:r>
        <w:rPr>
          <w:rFonts w:ascii="Times New Roman"/>
          <w:b w:val="false"/>
          <w:i w:val="false"/>
          <w:color w:val="000000"/>
          <w:sz w:val="28"/>
        </w:rPr>
        <w:t>
      Международная ассоциация судовладельцев
</w:t>
      </w:r>
      <w:r>
        <w:br/>
      </w:r>
      <w:r>
        <w:rPr>
          <w:rFonts w:ascii="Times New Roman"/>
          <w:b w:val="false"/>
          <w:i w:val="false"/>
          <w:color w:val="000000"/>
          <w:sz w:val="28"/>
        </w:rPr>
        <w:t>
      Международный союз морского страхования
</w:t>
      </w:r>
      <w:r>
        <w:br/>
      </w:r>
      <w:r>
        <w:rPr>
          <w:rFonts w:ascii="Times New Roman"/>
          <w:b w:val="false"/>
          <w:i w:val="false"/>
          <w:color w:val="000000"/>
          <w:sz w:val="28"/>
        </w:rPr>
        <w:t>
      Латиноамериканская ассоциация судовладельцев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Председателем Конференции был избран г-н Рольф Гербер (Федеративная Республика Германии).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Конференция избрала на пост Заместителя Председателя представителей следующих государств: Австралии, Алжира, Аргентины, Бельгии, Венесуэлы, Германской Демократической Республики, Греции, Дании, Индонезии, Ирака, Италии, Канады, Кубы, Нигерии, Турции, Пакистана, Польши, Сенегала, Союза Советских Социалистических Республик, Уганды, Филиппин и Эквадора.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Конференция учредила следующие комитеты: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Генеральный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Председатель Конференции
</w:t>
      </w:r>
      <w:r>
        <w:br/>
      </w:r>
      <w:r>
        <w:rPr>
          <w:rFonts w:ascii="Times New Roman"/>
          <w:b w:val="false"/>
          <w:i w:val="false"/>
          <w:color w:val="000000"/>
          <w:sz w:val="28"/>
        </w:rPr>
        <w:t>
      Члены:                 Председатель и Заместители
</w:t>
      </w:r>
      <w:r>
        <w:br/>
      </w:r>
      <w:r>
        <w:rPr>
          <w:rFonts w:ascii="Times New Roman"/>
          <w:b w:val="false"/>
          <w:i w:val="false"/>
          <w:color w:val="000000"/>
          <w:sz w:val="28"/>
        </w:rPr>
        <w:t>
                             Председателя Конференции и
</w:t>
      </w:r>
      <w:r>
        <w:br/>
      </w:r>
      <w:r>
        <w:rPr>
          <w:rFonts w:ascii="Times New Roman"/>
          <w:b w:val="false"/>
          <w:i w:val="false"/>
          <w:color w:val="000000"/>
          <w:sz w:val="28"/>
        </w:rPr>
        <w:t>
                             Председатели Первого и
</w:t>
      </w:r>
      <w:r>
        <w:br/>
      </w:r>
      <w:r>
        <w:rPr>
          <w:rFonts w:ascii="Times New Roman"/>
          <w:b w:val="false"/>
          <w:i w:val="false"/>
          <w:color w:val="000000"/>
          <w:sz w:val="28"/>
        </w:rPr>
        <w:t>
                             Второго комитетов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Первый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Г-н Мозен Шафик (Египет)
</w:t>
      </w:r>
      <w:r>
        <w:br/>
      </w:r>
      <w:r>
        <w:rPr>
          <w:rFonts w:ascii="Times New Roman"/>
          <w:b w:val="false"/>
          <w:i w:val="false"/>
          <w:color w:val="000000"/>
          <w:sz w:val="28"/>
        </w:rPr>
        <w:t>
      Заместитель            
</w:t>
      </w:r>
      <w:r>
        <w:br/>
      </w:r>
      <w:r>
        <w:rPr>
          <w:rFonts w:ascii="Times New Roman"/>
          <w:b w:val="false"/>
          <w:i w:val="false"/>
          <w:color w:val="000000"/>
          <w:sz w:val="28"/>
        </w:rPr>
        <w:t>
      Председателя:          Г-н С. Сухожевски (Польша)
</w:t>
      </w:r>
      <w:r>
        <w:br/>
      </w:r>
      <w:r>
        <w:rPr>
          <w:rFonts w:ascii="Times New Roman"/>
          <w:b w:val="false"/>
          <w:i w:val="false"/>
          <w:color w:val="000000"/>
          <w:sz w:val="28"/>
        </w:rPr>
        <w:t>
      Докладчик:             Г-н Д.М. Лоу (Канада)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Второй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Г-н Д. Попов (Болгария)
</w:t>
      </w:r>
      <w:r>
        <w:br/>
      </w:r>
      <w:r>
        <w:rPr>
          <w:rFonts w:ascii="Times New Roman"/>
          <w:b w:val="false"/>
          <w:i w:val="false"/>
          <w:color w:val="000000"/>
          <w:sz w:val="28"/>
        </w:rPr>
        <w:t>
      Заместитель
</w:t>
      </w:r>
      <w:r>
        <w:br/>
      </w:r>
      <w:r>
        <w:rPr>
          <w:rFonts w:ascii="Times New Roman"/>
          <w:b w:val="false"/>
          <w:i w:val="false"/>
          <w:color w:val="000000"/>
          <w:sz w:val="28"/>
        </w:rPr>
        <w:t>
      Председателя:          Г-н Т.Дж.А.М. де Бруин (Нидерланды)
</w:t>
      </w:r>
      <w:r>
        <w:br/>
      </w:r>
      <w:r>
        <w:rPr>
          <w:rFonts w:ascii="Times New Roman"/>
          <w:b w:val="false"/>
          <w:i w:val="false"/>
          <w:color w:val="000000"/>
          <w:sz w:val="28"/>
        </w:rPr>
        <w:t>
      Докладчик:             Г-н Н. Гуэйрос (Бразилия)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Редакционный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Г-н Р.К. Диксит (Индия)
</w:t>
      </w:r>
      <w:r>
        <w:br/>
      </w:r>
      <w:r>
        <w:rPr>
          <w:rFonts w:ascii="Times New Roman"/>
          <w:b w:val="false"/>
          <w:i w:val="false"/>
          <w:color w:val="000000"/>
          <w:sz w:val="28"/>
        </w:rPr>
        <w:t>
      Члены:                 Австралия, Аргентина, Венгрия,
</w:t>
      </w:r>
      <w:r>
        <w:br/>
      </w:r>
      <w:r>
        <w:rPr>
          <w:rFonts w:ascii="Times New Roman"/>
          <w:b w:val="false"/>
          <w:i w:val="false"/>
          <w:color w:val="000000"/>
          <w:sz w:val="28"/>
        </w:rPr>
        <w:t>
                             Германская Демократическая 
</w:t>
      </w:r>
      <w:r>
        <w:br/>
      </w:r>
      <w:r>
        <w:rPr>
          <w:rFonts w:ascii="Times New Roman"/>
          <w:b w:val="false"/>
          <w:i w:val="false"/>
          <w:color w:val="000000"/>
          <w:sz w:val="28"/>
        </w:rPr>
        <w:t>
                             Республика, Индия, Ирак, Кения,
</w:t>
      </w:r>
      <w:r>
        <w:br/>
      </w:r>
      <w:r>
        <w:rPr>
          <w:rFonts w:ascii="Times New Roman"/>
          <w:b w:val="false"/>
          <w:i w:val="false"/>
          <w:color w:val="000000"/>
          <w:sz w:val="28"/>
        </w:rPr>
        <w:t>
                             Норвегия, Объединенная Республика
</w:t>
      </w:r>
      <w:r>
        <w:br/>
      </w:r>
      <w:r>
        <w:rPr>
          <w:rFonts w:ascii="Times New Roman"/>
          <w:b w:val="false"/>
          <w:i w:val="false"/>
          <w:color w:val="000000"/>
          <w:sz w:val="28"/>
        </w:rPr>
        <w:t>
                             Танзания, Перу, Сингапур, 
</w:t>
      </w:r>
      <w:r>
        <w:br/>
      </w:r>
      <w:r>
        <w:rPr>
          <w:rFonts w:ascii="Times New Roman"/>
          <w:b w:val="false"/>
          <w:i w:val="false"/>
          <w:color w:val="000000"/>
          <w:sz w:val="28"/>
        </w:rPr>
        <w:t>
                             Соединенное Королевство
</w:t>
      </w:r>
      <w:r>
        <w:br/>
      </w:r>
      <w:r>
        <w:rPr>
          <w:rFonts w:ascii="Times New Roman"/>
          <w:b w:val="false"/>
          <w:i w:val="false"/>
          <w:color w:val="000000"/>
          <w:sz w:val="28"/>
        </w:rPr>
        <w:t>
                             Великобритании и Северной 
</w:t>
      </w:r>
      <w:r>
        <w:br/>
      </w:r>
      <w:r>
        <w:rPr>
          <w:rFonts w:ascii="Times New Roman"/>
          <w:b w:val="false"/>
          <w:i w:val="false"/>
          <w:color w:val="000000"/>
          <w:sz w:val="28"/>
        </w:rPr>
        <w:t>
                             Ирландии, Соединенные Штаты 
</w:t>
      </w:r>
      <w:r>
        <w:br/>
      </w:r>
      <w:r>
        <w:rPr>
          <w:rFonts w:ascii="Times New Roman"/>
          <w:b w:val="false"/>
          <w:i w:val="false"/>
          <w:color w:val="000000"/>
          <w:sz w:val="28"/>
        </w:rPr>
        <w:t>
                             Америки, Союз Советских 
</w:t>
      </w:r>
      <w:r>
        <w:br/>
      </w:r>
      <w:r>
        <w:rPr>
          <w:rFonts w:ascii="Times New Roman"/>
          <w:b w:val="false"/>
          <w:i w:val="false"/>
          <w:color w:val="000000"/>
          <w:sz w:val="28"/>
        </w:rPr>
        <w:t>
                             Социалистических Республик, 
</w:t>
      </w:r>
      <w:r>
        <w:br/>
      </w:r>
      <w:r>
        <w:rPr>
          <w:rFonts w:ascii="Times New Roman"/>
          <w:b w:val="false"/>
          <w:i w:val="false"/>
          <w:color w:val="000000"/>
          <w:sz w:val="28"/>
        </w:rPr>
        <w:t>
                             Сьерра-Леоне, Франция, 
</w:t>
      </w:r>
      <w:r>
        <w:br/>
      </w:r>
      <w:r>
        <w:rPr>
          <w:rFonts w:ascii="Times New Roman"/>
          <w:b w:val="false"/>
          <w:i w:val="false"/>
          <w:color w:val="000000"/>
          <w:sz w:val="28"/>
        </w:rPr>
        <w:t>
                             Эквадор, Япония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Комитет по проверке полномочий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Г-жа Хелилиа Хаджи Юсуф (Малайзия)
</w:t>
      </w:r>
      <w:r>
        <w:br/>
      </w:r>
      <w:r>
        <w:rPr>
          <w:rFonts w:ascii="Times New Roman"/>
          <w:b w:val="false"/>
          <w:i w:val="false"/>
          <w:color w:val="000000"/>
          <w:sz w:val="28"/>
        </w:rPr>
        <w:t>
      Члены:                 Бангладеш, Канада, Мадагаскар, 
</w:t>
      </w:r>
      <w:r>
        <w:br/>
      </w:r>
      <w:r>
        <w:rPr>
          <w:rFonts w:ascii="Times New Roman"/>
          <w:b w:val="false"/>
          <w:i w:val="false"/>
          <w:color w:val="000000"/>
          <w:sz w:val="28"/>
        </w:rPr>
        <w:t>
                             Малайзия, Нигерия, Сирийская 
</w:t>
      </w:r>
      <w:r>
        <w:br/>
      </w:r>
      <w:r>
        <w:rPr>
          <w:rFonts w:ascii="Times New Roman"/>
          <w:b w:val="false"/>
          <w:i w:val="false"/>
          <w:color w:val="000000"/>
          <w:sz w:val="28"/>
        </w:rPr>
        <w:t>
                             Арабская Республика, Соединенные 
</w:t>
      </w:r>
      <w:r>
        <w:br/>
      </w:r>
      <w:r>
        <w:rPr>
          <w:rFonts w:ascii="Times New Roman"/>
          <w:b w:val="false"/>
          <w:i w:val="false"/>
          <w:color w:val="000000"/>
          <w:sz w:val="28"/>
        </w:rPr>
        <w:t>
                             Штаты Америки, Чехословакия и
</w:t>
      </w:r>
      <w:r>
        <w:br/>
      </w:r>
      <w:r>
        <w:rPr>
          <w:rFonts w:ascii="Times New Roman"/>
          <w:b w:val="false"/>
          <w:i w:val="false"/>
          <w:color w:val="000000"/>
          <w:sz w:val="28"/>
        </w:rPr>
        <w:t>
                             Эквадор.
</w:t>
      </w:r>
    </w:p>
    <w:p>
      <w:pPr>
        <w:spacing w:after="0"/>
        <w:ind w:left="0"/>
        <w:jc w:val="both"/>
      </w:pPr>
      <w:r>
        <w:rPr>
          <w:rFonts w:ascii="Times New Roman"/>
          <w:b w:val="false"/>
          <w:i w:val="false"/>
          <w:color w:val="000000"/>
          <w:sz w:val="28"/>
        </w:rPr>
        <w:t>
</w:t>
      </w:r>
      <w:r>
        <w:rPr>
          <w:rFonts w:ascii="Times New Roman"/>
          <w:b w:val="false"/>
          <w:i w:val="false"/>
          <w:color w:val="000000"/>
          <w:sz w:val="28"/>
        </w:rPr>
        <w:t>
      9. Генеральный секретарь Организации Объединенных Наций был представлен с 6 по 11 марта юрисконсультом Организации Объединенных Наций г-ном Эриком Суи, а впоследствии - директором Отдела по общеправовым вопросам Управления по правовым вопросам Организации Объединенных Наций г-ном Блейном Слоуном. Функции Исполнительного секретаря выполнял начальник Отделения по праву международной торговли Отдела по общеправовым вопросам Управления по правовым вопросам Организации Объединенных Наций г-н Виллем Вис.
</w:t>
      </w:r>
    </w:p>
    <w:p>
      <w:pPr>
        <w:spacing w:after="0"/>
        <w:ind w:left="0"/>
        <w:jc w:val="both"/>
      </w:pPr>
      <w:r>
        <w:rPr>
          <w:rFonts w:ascii="Times New Roman"/>
          <w:b w:val="false"/>
          <w:i w:val="false"/>
          <w:color w:val="000000"/>
          <w:sz w:val="28"/>
        </w:rPr>
        <w:t>
</w:t>
      </w:r>
      <w:r>
        <w:rPr>
          <w:rFonts w:ascii="Times New Roman"/>
          <w:b w:val="false"/>
          <w:i w:val="false"/>
          <w:color w:val="000000"/>
          <w:sz w:val="28"/>
        </w:rPr>
        <w:t>
      10. В соответствии со своей резолюцией 31/100 от 15 декабря 1976 года о созыве конференции Генеральная Ассамблея представила Конференции в качестве основы для рассмотрения вопроса о морской перевозке грузов проект Конвенции о морской перевозке грузов, содержащийся в главе IV доклада Комиссии Организации Объединенных Наций по праву международной торговли о работе ее девятой сессии (A/CONF.89/5), текст проекта положений, касающихся осуществления, оговорок и других заключительных статей, подготовленный Генеральным секретарем (А/CONF.89/6 и Add.l и 2), замечания и предложения правительств и международных организаций (A/CONF.89/7 и Add.l) и анализ этих замечаний и предложений, подготовленный Генеральным секретарем (А/CONF.89/8).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Конференция поручила Первому комитету рассмотреть текст проекта Конвенции о морской перевозке грузов и проект положения об оговорках из проекта положений, касающихся осуществления, оговорок и других заключительных статей, подготовленного Генеральным секретарем. Конференция поручила Второму комитету рассмотреть проекты других положений, касающихся осуществления, оговорок и других заключительных статей.
</w:t>
      </w:r>
      <w:r>
        <w:br/>
      </w:r>
      <w:r>
        <w:rPr>
          <w:rFonts w:ascii="Times New Roman"/>
          <w:b w:val="false"/>
          <w:i w:val="false"/>
          <w:color w:val="000000"/>
          <w:sz w:val="28"/>
        </w:rPr>
        <w:t>
      12. На основе прений, отраженных в кратких отчетах Конференции (А/CONF.89/SR.1-10), кратких отчетах Первого комитета (А/CONF.89/C.1/SR.1-37) и его докладе (A/CONF.89/10) и в кратких отчетах Второго комитета (А/CONF.89/C.2/SR.1-11) и его докладе (А/CONF.89/11), Конференция выработала Конвенцию Организации Объединенных Наций о морской перевозке грузов 1978 года.
</w:t>
      </w:r>
      <w:r>
        <w:br/>
      </w:r>
      <w:r>
        <w:rPr>
          <w:rFonts w:ascii="Times New Roman"/>
          <w:b w:val="false"/>
          <w:i w:val="false"/>
          <w:color w:val="000000"/>
          <w:sz w:val="28"/>
        </w:rPr>
        <w:t>
      13. Данная Конвенция, текст которой прилагается к настоящему Заключительному акту (Приложение I), была утверждена Конференцией 30 марта 1978 года и открыта для подписания на заключительном заседании Конференции 31 марта 1978 года. Она будет открыта для подписания в Центральных учреждениях в Нью-Йорке до 30 апреля 1979 года, после чего она будет открыта для присоединения в соответствии с ее положениями.
</w:t>
      </w:r>
      <w:r>
        <w:br/>
      </w:r>
      <w:r>
        <w:rPr>
          <w:rFonts w:ascii="Times New Roman"/>
          <w:b w:val="false"/>
          <w:i w:val="false"/>
          <w:color w:val="000000"/>
          <w:sz w:val="28"/>
        </w:rPr>
        <w:t>
      14. Конвенция сдается на хранение Генеральному секретарю Организации Объединенных Наций.
</w:t>
      </w:r>
      <w:r>
        <w:br/>
      </w:r>
      <w:r>
        <w:rPr>
          <w:rFonts w:ascii="Times New Roman"/>
          <w:b w:val="false"/>
          <w:i w:val="false"/>
          <w:color w:val="000000"/>
          <w:sz w:val="28"/>
        </w:rPr>
        <w:t>
      15. Конференция приняла также "общую договоренность" и резолюцию, тексты которых также прилагаются к настоящему Заключительному акту (Приложения II и III).
</w:t>
      </w:r>
    </w:p>
    <w:p>
      <w:pPr>
        <w:spacing w:after="0"/>
        <w:ind w:left="0"/>
        <w:jc w:val="both"/>
      </w:pPr>
      <w:r>
        <w:rPr>
          <w:rFonts w:ascii="Times New Roman"/>
          <w:b w:val="false"/>
          <w:i w:val="false"/>
          <w:color w:val="000000"/>
          <w:sz w:val="28"/>
        </w:rPr>
        <w:t>
      В УДОСТОВЕРЕНИЕ ЧЕГО представители подписали настоящий Заключительный акт.
</w:t>
      </w:r>
    </w:p>
    <w:p>
      <w:pPr>
        <w:spacing w:after="0"/>
        <w:ind w:left="0"/>
        <w:jc w:val="both"/>
      </w:pPr>
      <w:r>
        <w:rPr>
          <w:rFonts w:ascii="Times New Roman"/>
          <w:b w:val="false"/>
          <w:i w:val="false"/>
          <w:color w:val="000000"/>
          <w:sz w:val="28"/>
        </w:rPr>
        <w:t>
      Совершено в Гамбурге, Федеративная Республика Германии, тридцать первого марта тысяча девятьсот семьдесят восьмого года в единственном экземпляре на английском,  арабском, испанском, китайском, русском и французском языках, причем каждый текст является равно аутентичным.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Исполнительный секретарь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Список государств-участников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Объединенных Наций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морской перевозке грузов 1978 года (Гамбург)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353"/>
        <w:gridCol w:w="2133"/>
        <w:gridCol w:w="2793"/>
        <w:gridCol w:w="2273"/>
      </w:tblGrid>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Подписание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Ратификация
</w:t>
            </w:r>
            <w:r>
              <w:br/>
            </w:r>
            <w:r>
              <w:rPr>
                <w:rFonts w:ascii="Times New Roman"/>
                <w:b w:val="false"/>
                <w:i w:val="false"/>
                <w:color w:val="000000"/>
                <w:sz w:val="20"/>
              </w:rPr>
              <w:t>
Присоединение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Вступление
</w:t>
            </w:r>
            <w:r>
              <w:br/>
            </w:r>
            <w:r>
              <w:rPr>
                <w:rFonts w:ascii="Times New Roman"/>
                <w:b w:val="false"/>
                <w:i w:val="false"/>
                <w:color w:val="000000"/>
                <w:sz w:val="20"/>
              </w:rPr>
              <w:t>
в силу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июля
</w:t>
            </w:r>
            <w:r>
              <w:br/>
            </w:r>
            <w:r>
              <w:rPr>
                <w:rFonts w:ascii="Times New Roman"/>
                <w:b w:val="false"/>
                <w:i w:val="false"/>
                <w:color w:val="000000"/>
                <w:sz w:val="20"/>
              </w:rPr>
              <w:t>
1993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августа
</w:t>
            </w:r>
            <w:r>
              <w:br/>
            </w:r>
            <w:r>
              <w:rPr>
                <w:rFonts w:ascii="Times New Roman"/>
                <w:b w:val="false"/>
                <w:i w:val="false"/>
                <w:color w:val="000000"/>
                <w:sz w:val="20"/>
              </w:rPr>
              <w:t>
1994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Барбадос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февраля
</w:t>
            </w:r>
            <w:r>
              <w:br/>
            </w:r>
            <w:r>
              <w:rPr>
                <w:rFonts w:ascii="Times New Roman"/>
                <w:b w:val="false"/>
                <w:i w:val="false"/>
                <w:color w:val="000000"/>
                <w:sz w:val="20"/>
              </w:rPr>
              <w:t>
1981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Ботсвана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февраля
</w:t>
            </w:r>
            <w:r>
              <w:br/>
            </w:r>
            <w:r>
              <w:rPr>
                <w:rFonts w:ascii="Times New Roman"/>
                <w:b w:val="false"/>
                <w:i w:val="false"/>
                <w:color w:val="000000"/>
                <w:sz w:val="20"/>
              </w:rPr>
              <w:t>
1988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Буркина Фасо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августа
</w:t>
            </w:r>
            <w:r>
              <w:br/>
            </w:r>
            <w:r>
              <w:rPr>
                <w:rFonts w:ascii="Times New Roman"/>
                <w:b w:val="false"/>
                <w:i w:val="false"/>
                <w:color w:val="000000"/>
                <w:sz w:val="20"/>
              </w:rPr>
              <w:t>
1989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Бурунди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сентября
</w:t>
            </w:r>
            <w:r>
              <w:br/>
            </w:r>
            <w:r>
              <w:rPr>
                <w:rFonts w:ascii="Times New Roman"/>
                <w:b w:val="false"/>
                <w:i w:val="false"/>
                <w:color w:val="000000"/>
                <w:sz w:val="20"/>
              </w:rPr>
              <w:t>
1998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октября
</w:t>
            </w:r>
            <w:r>
              <w:br/>
            </w:r>
            <w:r>
              <w:rPr>
                <w:rFonts w:ascii="Times New Roman"/>
                <w:b w:val="false"/>
                <w:i w:val="false"/>
                <w:color w:val="000000"/>
                <w:sz w:val="20"/>
              </w:rPr>
              <w:t>
1999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Венгрия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июля
</w:t>
            </w:r>
            <w:r>
              <w:br/>
            </w:r>
            <w:r>
              <w:rPr>
                <w:rFonts w:ascii="Times New Roman"/>
                <w:b w:val="false"/>
                <w:i w:val="false"/>
                <w:color w:val="000000"/>
                <w:sz w:val="20"/>
              </w:rPr>
              <w:t>
1984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Венесуэла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Гана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Гвинея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января
</w:t>
            </w:r>
            <w:r>
              <w:br/>
            </w:r>
            <w:r>
              <w:rPr>
                <w:rFonts w:ascii="Times New Roman"/>
                <w:b w:val="false"/>
                <w:i w:val="false"/>
                <w:color w:val="000000"/>
                <w:sz w:val="20"/>
              </w:rPr>
              <w:t>
1991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марта
</w:t>
            </w:r>
            <w:r>
              <w:br/>
            </w:r>
            <w:r>
              <w:rPr>
                <w:rFonts w:ascii="Times New Roman"/>
                <w:b w:val="false"/>
                <w:i w:val="false"/>
                <w:color w:val="000000"/>
                <w:sz w:val="20"/>
              </w:rPr>
              <w:t>
1996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апреля
</w:t>
            </w:r>
            <w:r>
              <w:br/>
            </w:r>
            <w:r>
              <w:rPr>
                <w:rFonts w:ascii="Times New Roman"/>
                <w:b w:val="false"/>
                <w:i w:val="false"/>
                <w:color w:val="000000"/>
                <w:sz w:val="20"/>
              </w:rPr>
              <w:t>
1997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Демократическая
</w:t>
            </w:r>
            <w:r>
              <w:br/>
            </w:r>
            <w:r>
              <w:rPr>
                <w:rFonts w:ascii="Times New Roman"/>
                <w:b w:val="false"/>
                <w:i w:val="false"/>
                <w:color w:val="000000"/>
                <w:sz w:val="20"/>
              </w:rPr>
              <w:t>
Республика Конго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Египет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апреля
</w:t>
            </w:r>
            <w:r>
              <w:br/>
            </w:r>
            <w:r>
              <w:rPr>
                <w:rFonts w:ascii="Times New Roman"/>
                <w:b w:val="false"/>
                <w:i w:val="false"/>
                <w:color w:val="000000"/>
                <w:sz w:val="20"/>
              </w:rPr>
              <w:t>
1979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3аир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Иордан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мая
</w:t>
            </w:r>
            <w:r>
              <w:br/>
            </w:r>
            <w:r>
              <w:rPr>
                <w:rFonts w:ascii="Times New Roman"/>
                <w:b w:val="false"/>
                <w:i w:val="false"/>
                <w:color w:val="000000"/>
                <w:sz w:val="20"/>
              </w:rPr>
              <w:t>
2001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июня
</w:t>
            </w:r>
            <w:r>
              <w:br/>
            </w:r>
            <w:r>
              <w:rPr>
                <w:rFonts w:ascii="Times New Roman"/>
                <w:b w:val="false"/>
                <w:i w:val="false"/>
                <w:color w:val="000000"/>
                <w:sz w:val="20"/>
              </w:rPr>
              <w:t>
2002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Камерун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октября
</w:t>
            </w:r>
            <w:r>
              <w:br/>
            </w:r>
            <w:r>
              <w:rPr>
                <w:rFonts w:ascii="Times New Roman"/>
                <w:b w:val="false"/>
                <w:i w:val="false"/>
                <w:color w:val="000000"/>
                <w:sz w:val="20"/>
              </w:rPr>
              <w:t>
1993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1994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июля
</w:t>
            </w:r>
            <w:r>
              <w:br/>
            </w:r>
            <w:r>
              <w:rPr>
                <w:rFonts w:ascii="Times New Roman"/>
                <w:b w:val="false"/>
                <w:i w:val="false"/>
                <w:color w:val="000000"/>
                <w:sz w:val="20"/>
              </w:rPr>
              <w:t>
1989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Лесото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октября
</w:t>
            </w:r>
            <w:r>
              <w:br/>
            </w:r>
            <w:r>
              <w:rPr>
                <w:rFonts w:ascii="Times New Roman"/>
                <w:b w:val="false"/>
                <w:i w:val="false"/>
                <w:color w:val="000000"/>
                <w:sz w:val="20"/>
              </w:rPr>
              <w:t>
1989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Ливан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апреля
</w:t>
            </w:r>
            <w:r>
              <w:br/>
            </w:r>
            <w:r>
              <w:rPr>
                <w:rFonts w:ascii="Times New Roman"/>
                <w:b w:val="false"/>
                <w:i w:val="false"/>
                <w:color w:val="000000"/>
                <w:sz w:val="20"/>
              </w:rPr>
              <w:t>
1983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Мадагаскар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Малави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марта
</w:t>
            </w:r>
            <w:r>
              <w:br/>
            </w:r>
            <w:r>
              <w:rPr>
                <w:rFonts w:ascii="Times New Roman"/>
                <w:b w:val="false"/>
                <w:i w:val="false"/>
                <w:color w:val="000000"/>
                <w:sz w:val="20"/>
              </w:rPr>
              <w:t>
1991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Марокко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июня
</w:t>
            </w:r>
            <w:r>
              <w:br/>
            </w:r>
            <w:r>
              <w:rPr>
                <w:rFonts w:ascii="Times New Roman"/>
                <w:b w:val="false"/>
                <w:i w:val="false"/>
                <w:color w:val="000000"/>
                <w:sz w:val="20"/>
              </w:rPr>
              <w:t>
1981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Мексика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Нигерия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ноября
</w:t>
            </w:r>
            <w:r>
              <w:br/>
            </w:r>
            <w:r>
              <w:rPr>
                <w:rFonts w:ascii="Times New Roman"/>
                <w:b w:val="false"/>
                <w:i w:val="false"/>
                <w:color w:val="000000"/>
                <w:sz w:val="20"/>
              </w:rPr>
              <w:t>
1988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Норвегия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Объединенная
</w:t>
            </w:r>
            <w:r>
              <w:br/>
            </w:r>
            <w:r>
              <w:rPr>
                <w:rFonts w:ascii="Times New Roman"/>
                <w:b w:val="false"/>
                <w:i w:val="false"/>
                <w:color w:val="000000"/>
                <w:sz w:val="20"/>
              </w:rPr>
              <w:t>
Республика
</w:t>
            </w:r>
            <w:r>
              <w:br/>
            </w:r>
            <w:r>
              <w:rPr>
                <w:rFonts w:ascii="Times New Roman"/>
                <w:b w:val="false"/>
                <w:i w:val="false"/>
                <w:color w:val="000000"/>
                <w:sz w:val="20"/>
              </w:rPr>
              <w:t>
Танзания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июля
</w:t>
            </w:r>
            <w:r>
              <w:br/>
            </w:r>
            <w:r>
              <w:rPr>
                <w:rFonts w:ascii="Times New Roman"/>
                <w:b w:val="false"/>
                <w:i w:val="false"/>
                <w:color w:val="000000"/>
                <w:sz w:val="20"/>
              </w:rPr>
              <w:t>
1979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Пакистан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марта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Панама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Португалия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Румыния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января
</w:t>
            </w:r>
            <w:r>
              <w:br/>
            </w:r>
            <w:r>
              <w:rPr>
                <w:rFonts w:ascii="Times New Roman"/>
                <w:b w:val="false"/>
                <w:i w:val="false"/>
                <w:color w:val="000000"/>
                <w:sz w:val="20"/>
              </w:rPr>
              <w:t>
1982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Святейший
</w:t>
            </w:r>
            <w:r>
              <w:br/>
            </w:r>
            <w:r>
              <w:rPr>
                <w:rFonts w:ascii="Times New Roman"/>
                <w:b w:val="false"/>
                <w:i w:val="false"/>
                <w:color w:val="000000"/>
                <w:sz w:val="20"/>
              </w:rPr>
              <w:t>
Престол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Сенегал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марта
</w:t>
            </w:r>
            <w:r>
              <w:br/>
            </w:r>
            <w:r>
              <w:rPr>
                <w:rFonts w:ascii="Times New Roman"/>
                <w:b w:val="false"/>
                <w:i w:val="false"/>
                <w:color w:val="000000"/>
                <w:sz w:val="20"/>
              </w:rPr>
              <w:t>
1986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Сент-Винсент
</w:t>
            </w:r>
            <w:r>
              <w:br/>
            </w:r>
            <w:r>
              <w:rPr>
                <w:rFonts w:ascii="Times New Roman"/>
                <w:b w:val="false"/>
                <w:i w:val="false"/>
                <w:color w:val="000000"/>
                <w:sz w:val="20"/>
              </w:rPr>
              <w:t>
и Гренадины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сентября
</w:t>
            </w:r>
            <w:r>
              <w:br/>
            </w:r>
            <w:r>
              <w:rPr>
                <w:rFonts w:ascii="Times New Roman"/>
                <w:b w:val="false"/>
                <w:i w:val="false"/>
                <w:color w:val="000000"/>
                <w:sz w:val="20"/>
              </w:rPr>
              <w:t>
2000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октября
</w:t>
            </w:r>
            <w:r>
              <w:br/>
            </w:r>
            <w:r>
              <w:rPr>
                <w:rFonts w:ascii="Times New Roman"/>
                <w:b w:val="false"/>
                <w:i w:val="false"/>
                <w:color w:val="000000"/>
                <w:sz w:val="20"/>
              </w:rPr>
              <w:t>
2001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Сингапур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Сирийская
</w:t>
            </w:r>
            <w:r>
              <w:br/>
            </w:r>
            <w:r>
              <w:rPr>
                <w:rFonts w:ascii="Times New Roman"/>
                <w:b w:val="false"/>
                <w:i w:val="false"/>
                <w:color w:val="000000"/>
                <w:sz w:val="20"/>
              </w:rPr>
              <w:t>
Арабская
</w:t>
            </w:r>
            <w:r>
              <w:br/>
            </w:r>
            <w:r>
              <w:rPr>
                <w:rFonts w:ascii="Times New Roman"/>
                <w:b w:val="false"/>
                <w:i w:val="false"/>
                <w:color w:val="000000"/>
                <w:sz w:val="20"/>
              </w:rPr>
              <w:t>
Республика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октября
</w:t>
            </w:r>
            <w:r>
              <w:br/>
            </w:r>
            <w:r>
              <w:rPr>
                <w:rFonts w:ascii="Times New Roman"/>
                <w:b w:val="false"/>
                <w:i w:val="false"/>
                <w:color w:val="000000"/>
                <w:sz w:val="20"/>
              </w:rPr>
              <w:t>
2002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октября
</w:t>
            </w:r>
            <w:r>
              <w:br/>
            </w:r>
            <w:r>
              <w:rPr>
                <w:rFonts w:ascii="Times New Roman"/>
                <w:b w:val="false"/>
                <w:i w:val="false"/>
                <w:color w:val="000000"/>
                <w:sz w:val="20"/>
              </w:rPr>
              <w:t>
2003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Словацкая
</w:t>
            </w:r>
            <w:r>
              <w:br/>
            </w:r>
            <w:r>
              <w:rPr>
                <w:rFonts w:ascii="Times New Roman"/>
                <w:b w:val="false"/>
                <w:i w:val="false"/>
                <w:color w:val="000000"/>
                <w:sz w:val="20"/>
              </w:rPr>
              <w:t>
Республика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мая
</w:t>
            </w:r>
            <w:r>
              <w:br/>
            </w:r>
            <w:r>
              <w:rPr>
                <w:rFonts w:ascii="Times New Roman"/>
                <w:b w:val="false"/>
                <w:i w:val="false"/>
                <w:color w:val="000000"/>
                <w:sz w:val="20"/>
              </w:rPr>
              <w:t>
1993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Соединенные
</w:t>
            </w:r>
            <w:r>
              <w:br/>
            </w:r>
            <w:r>
              <w:rPr>
                <w:rFonts w:ascii="Times New Roman"/>
                <w:b w:val="false"/>
                <w:i w:val="false"/>
                <w:color w:val="000000"/>
                <w:sz w:val="20"/>
              </w:rPr>
              <w:t>
Штаты Америки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Сьерра-Леоне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августа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октября
</w:t>
            </w:r>
            <w:r>
              <w:br/>
            </w:r>
            <w:r>
              <w:rPr>
                <w:rFonts w:ascii="Times New Roman"/>
                <w:b w:val="false"/>
                <w:i w:val="false"/>
                <w:color w:val="000000"/>
                <w:sz w:val="20"/>
              </w:rPr>
              <w:t>
1988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Тунис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сентября
</w:t>
            </w:r>
            <w:r>
              <w:br/>
            </w:r>
            <w:r>
              <w:rPr>
                <w:rFonts w:ascii="Times New Roman"/>
                <w:b w:val="false"/>
                <w:i w:val="false"/>
                <w:color w:val="000000"/>
                <w:sz w:val="20"/>
              </w:rPr>
              <w:t>
1980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Уганда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июля
</w:t>
            </w:r>
            <w:r>
              <w:br/>
            </w:r>
            <w:r>
              <w:rPr>
                <w:rFonts w:ascii="Times New Roman"/>
                <w:b w:val="false"/>
                <w:i w:val="false"/>
                <w:color w:val="000000"/>
                <w:sz w:val="20"/>
              </w:rPr>
              <w:t>
1979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Филиппины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июня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Финляндия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Чешская
</w:t>
            </w:r>
            <w:r>
              <w:br/>
            </w:r>
            <w:r>
              <w:rPr>
                <w:rFonts w:ascii="Times New Roman"/>
                <w:b w:val="false"/>
                <w:i w:val="false"/>
                <w:color w:val="000000"/>
                <w:sz w:val="20"/>
              </w:rPr>
              <w:t>
Республика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июня
</w:t>
            </w:r>
            <w:r>
              <w:br/>
            </w:r>
            <w:r>
              <w:rPr>
                <w:rFonts w:ascii="Times New Roman"/>
                <w:b w:val="false"/>
                <w:i w:val="false"/>
                <w:color w:val="000000"/>
                <w:sz w:val="20"/>
              </w:rPr>
              <w:t>
1993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июня
</w:t>
            </w:r>
            <w:r>
              <w:br/>
            </w:r>
            <w:r>
              <w:rPr>
                <w:rFonts w:ascii="Times New Roman"/>
                <w:b w:val="false"/>
                <w:i w:val="false"/>
                <w:color w:val="000000"/>
                <w:sz w:val="20"/>
              </w:rPr>
              <w:t>
1995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июля
</w:t>
            </w:r>
            <w:r>
              <w:br/>
            </w:r>
            <w:r>
              <w:rPr>
                <w:rFonts w:ascii="Times New Roman"/>
                <w:b w:val="false"/>
                <w:i w:val="false"/>
                <w:color w:val="000000"/>
                <w:sz w:val="20"/>
              </w:rPr>
              <w:t>
1996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Чили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июля
</w:t>
            </w:r>
            <w:r>
              <w:br/>
            </w:r>
            <w:r>
              <w:rPr>
                <w:rFonts w:ascii="Times New Roman"/>
                <w:b w:val="false"/>
                <w:i w:val="false"/>
                <w:color w:val="000000"/>
                <w:sz w:val="20"/>
              </w:rPr>
              <w:t>
1982 года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ноября
</w:t>
            </w:r>
            <w:r>
              <w:br/>
            </w:r>
            <w:r>
              <w:rPr>
                <w:rFonts w:ascii="Times New Roman"/>
                <w:b w:val="false"/>
                <w:i w:val="false"/>
                <w:color w:val="000000"/>
                <w:sz w:val="20"/>
              </w:rPr>
              <w:t>
1992 года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Швеция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апреля
</w:t>
            </w:r>
            <w:r>
              <w:br/>
            </w:r>
            <w:r>
              <w:rPr>
                <w:rFonts w:ascii="Times New Roman"/>
                <w:b w:val="false"/>
                <w:i w:val="false"/>
                <w:color w:val="000000"/>
                <w:sz w:val="20"/>
              </w:rPr>
              <w:t>
1979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Эквадор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марта
</w:t>
            </w:r>
            <w:r>
              <w:br/>
            </w:r>
            <w:r>
              <w:rPr>
                <w:rFonts w:ascii="Times New Roman"/>
                <w:b w:val="false"/>
                <w:i w:val="false"/>
                <w:color w:val="000000"/>
                <w:sz w:val="20"/>
              </w:rPr>
              <w:t>
1978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