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cc3a" w14:textId="23ac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w:t>
      </w:r>
    </w:p>
    <w:p>
      <w:pPr>
        <w:spacing w:after="0"/>
        <w:ind w:left="0"/>
        <w:jc w:val="both"/>
      </w:pPr>
      <w:r>
        <w:rPr>
          <w:rFonts w:ascii="Times New Roman"/>
          <w:b w:val="false"/>
          <w:i w:val="false"/>
          <w:color w:val="000000"/>
          <w:sz w:val="28"/>
        </w:rPr>
        <w:t>Закон Республики Казахстан от 8 января 2004 года N 517</w:t>
      </w:r>
    </w:p>
    <w:p>
      <w:pPr>
        <w:spacing w:after="0"/>
        <w:ind w:left="0"/>
        <w:jc w:val="both"/>
      </w:pPr>
      <w:r>
        <w:rPr>
          <w:rFonts w:ascii="Times New Roman"/>
          <w:b w:val="false"/>
          <w:i w:val="false"/>
          <w:color w:val="000000"/>
          <w:sz w:val="28"/>
        </w:rPr>
        <w:t xml:space="preserve">      Ратифицировать Письмо-соглашение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совершенное в Астане 9 сентября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The World Bank         1818 Н Street N.W.   (202) 477-1234 </w:t>
      </w:r>
      <w:r>
        <w:br/>
      </w:r>
      <w:r>
        <w:rPr>
          <w:rFonts w:ascii="Times New Roman"/>
          <w:b w:val="false"/>
          <w:i w:val="false"/>
          <w:color w:val="000000"/>
          <w:sz w:val="28"/>
        </w:rPr>
        <w:t xml:space="preserve">
INTERNATIONAL BANK     Washington, D.C.     Cable Address: INTBAFRAD </w:t>
      </w:r>
      <w:r>
        <w:br/>
      </w:r>
      <w:r>
        <w:rPr>
          <w:rFonts w:ascii="Times New Roman"/>
          <w:b w:val="false"/>
          <w:i w:val="false"/>
          <w:color w:val="000000"/>
          <w:sz w:val="28"/>
        </w:rPr>
        <w:t xml:space="preserve">
FOR RECONSTRUCTION     20433 U.S.A.         Cable Address: INDEVAS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INTERNATIONAL </w:t>
      </w:r>
      <w:r>
        <w:br/>
      </w:r>
      <w:r>
        <w:rPr>
          <w:rFonts w:ascii="Times New Roman"/>
          <w:b w:val="false"/>
          <w:i w:val="false"/>
          <w:color w:val="000000"/>
          <w:sz w:val="28"/>
        </w:rPr>
        <w:t xml:space="preserve">
DEVELOPMENT </w:t>
      </w:r>
      <w:r>
        <w:br/>
      </w:r>
      <w:r>
        <w:rPr>
          <w:rFonts w:ascii="Times New Roman"/>
          <w:b w:val="false"/>
          <w:i w:val="false"/>
          <w:color w:val="000000"/>
          <w:sz w:val="28"/>
        </w:rPr>
        <w:t xml:space="preserve">
ASSOCIATION </w:t>
      </w:r>
    </w:p>
    <w:p>
      <w:pPr>
        <w:spacing w:after="0"/>
        <w:ind w:left="0"/>
        <w:jc w:val="both"/>
      </w:pPr>
      <w:r>
        <w:rPr>
          <w:rFonts w:ascii="Times New Roman"/>
          <w:b w:val="false"/>
          <w:i w:val="false"/>
          <w:color w:val="000000"/>
          <w:sz w:val="28"/>
        </w:rPr>
        <w:t xml:space="preserve">                                                  22 августа 2003 г.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Республики Казахстан </w:t>
      </w:r>
      <w:r>
        <w:br/>
      </w:r>
      <w:r>
        <w:rPr>
          <w:rFonts w:ascii="Times New Roman"/>
          <w:b w:val="false"/>
          <w:i w:val="false"/>
          <w:color w:val="000000"/>
          <w:sz w:val="28"/>
        </w:rPr>
        <w:t xml:space="preserve">
- Министру сельского хозяйства </w:t>
      </w:r>
      <w:r>
        <w:br/>
      </w:r>
      <w:r>
        <w:rPr>
          <w:rFonts w:ascii="Times New Roman"/>
          <w:b w:val="false"/>
          <w:i w:val="false"/>
          <w:color w:val="000000"/>
          <w:sz w:val="28"/>
        </w:rPr>
        <w:t xml:space="preserve">
пр. Абая 49, 473000 </w:t>
      </w:r>
      <w:r>
        <w:br/>
      </w:r>
      <w:r>
        <w:rPr>
          <w:rFonts w:ascii="Times New Roman"/>
          <w:b w:val="false"/>
          <w:i w:val="false"/>
          <w:color w:val="000000"/>
          <w:sz w:val="28"/>
        </w:rPr>
        <w:t xml:space="preserve">
Астана </w:t>
      </w:r>
    </w:p>
    <w:p>
      <w:pPr>
        <w:spacing w:after="0"/>
        <w:ind w:left="0"/>
        <w:jc w:val="both"/>
      </w:pPr>
      <w:r>
        <w:rPr>
          <w:rFonts w:ascii="Times New Roman"/>
          <w:b w:val="false"/>
          <w:i/>
          <w:color w:val="000000"/>
          <w:sz w:val="28"/>
        </w:rPr>
        <w:t xml:space="preserve">Каc.: Грант Правительства Японии для Республики Казахстан: </w:t>
      </w:r>
      <w:r>
        <w:br/>
      </w:r>
      <w:r>
        <w:rPr>
          <w:rFonts w:ascii="Times New Roman"/>
          <w:b w:val="false"/>
          <w:i w:val="false"/>
          <w:color w:val="000000"/>
          <w:sz w:val="28"/>
        </w:rPr>
        <w:t>
</w:t>
      </w:r>
      <w:r>
        <w:rPr>
          <w:rFonts w:ascii="Times New Roman"/>
          <w:b w:val="false"/>
          <w:i/>
          <w:color w:val="000000"/>
          <w:sz w:val="28"/>
        </w:rPr>
        <w:t xml:space="preserve">Проект восстановления окружающей среды г. Усть-Каменогорска </w:t>
      </w:r>
      <w:r>
        <w:br/>
      </w:r>
      <w:r>
        <w:rPr>
          <w:rFonts w:ascii="Times New Roman"/>
          <w:b w:val="false"/>
          <w:i w:val="false"/>
          <w:color w:val="000000"/>
          <w:sz w:val="28"/>
        </w:rPr>
        <w:t>
</w:t>
      </w:r>
      <w:r>
        <w:rPr>
          <w:rFonts w:ascii="Times New Roman"/>
          <w:b w:val="false"/>
          <w:i w:val="false"/>
          <w:color w:val="000000"/>
          <w:sz w:val="28"/>
          <w:u w:val="single"/>
        </w:rPr>
        <w:t xml:space="preserve">Грант N TF 051352 </w:t>
      </w:r>
    </w:p>
    <w:p>
      <w:pPr>
        <w:spacing w:after="0"/>
        <w:ind w:left="0"/>
        <w:jc w:val="both"/>
      </w:pPr>
      <w:r>
        <w:rPr>
          <w:rFonts w:ascii="Times New Roman"/>
          <w:b w:val="false"/>
          <w:i w:val="false"/>
          <w:color w:val="000000"/>
          <w:sz w:val="28"/>
        </w:rPr>
        <w:t xml:space="preserve">      Уважаемый господин Есимов, </w:t>
      </w:r>
    </w:p>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восемьсот шестьдесят тысяч семьсот долларов США (860 700),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(i) получении им копии Письма-соглашения, подписанного Вами, и (ii)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r>
        <w:br/>
      </w:r>
      <w:r>
        <w:rPr>
          <w:rFonts w:ascii="Times New Roman"/>
          <w:b w:val="false"/>
          <w:i w:val="false"/>
          <w:color w:val="000000"/>
          <w:sz w:val="28"/>
        </w:rPr>
        <w:t xml:space="preserve">
От имени </w:t>
      </w:r>
    </w:p>
    <w:p>
      <w:pPr>
        <w:spacing w:after="0"/>
        <w:ind w:left="0"/>
        <w:jc w:val="both"/>
      </w:pPr>
      <w:r>
        <w:rPr>
          <w:rFonts w:ascii="Times New Roman"/>
          <w:b w:val="false"/>
          <w:i w:val="false"/>
          <w:color w:val="000000"/>
          <w:sz w:val="28"/>
        </w:rPr>
        <w:t xml:space="preserve">Международного Банка Реконструкции и Развития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Кристофер Ловлас </w:t>
      </w:r>
      <w:r>
        <w:br/>
      </w:r>
      <w:r>
        <w:rPr>
          <w:rFonts w:ascii="Times New Roman"/>
          <w:b w:val="false"/>
          <w:i w:val="false"/>
          <w:color w:val="000000"/>
          <w:sz w:val="28"/>
        </w:rPr>
        <w:t xml:space="preserve">
И.о. Директора </w:t>
      </w:r>
      <w:r>
        <w:br/>
      </w:r>
      <w:r>
        <w:rPr>
          <w:rFonts w:ascii="Times New Roman"/>
          <w:b w:val="false"/>
          <w:i w:val="false"/>
          <w:color w:val="000000"/>
          <w:sz w:val="28"/>
        </w:rPr>
        <w:t xml:space="preserve">
Регионального представительства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Подпись _____________ </w:t>
      </w:r>
    </w:p>
    <w:p>
      <w:pPr>
        <w:spacing w:after="0"/>
        <w:ind w:left="0"/>
        <w:jc w:val="both"/>
      </w:pPr>
      <w:r>
        <w:rPr>
          <w:rFonts w:ascii="Times New Roman"/>
          <w:b w:val="false"/>
          <w:i w:val="false"/>
          <w:color w:val="000000"/>
          <w:sz w:val="28"/>
        </w:rPr>
        <w:t xml:space="preserve">      Имя _________________ </w:t>
      </w:r>
    </w:p>
    <w:p>
      <w:pPr>
        <w:spacing w:after="0"/>
        <w:ind w:left="0"/>
        <w:jc w:val="both"/>
      </w:pPr>
      <w:r>
        <w:rPr>
          <w:rFonts w:ascii="Times New Roman"/>
          <w:b w:val="false"/>
          <w:i w:val="false"/>
          <w:color w:val="000000"/>
          <w:sz w:val="28"/>
        </w:rPr>
        <w:t xml:space="preserve">      Должность ___________ </w:t>
      </w:r>
    </w:p>
    <w:p>
      <w:pPr>
        <w:spacing w:after="0"/>
        <w:ind w:left="0"/>
        <w:jc w:val="both"/>
      </w:pPr>
      <w:r>
        <w:rPr>
          <w:rFonts w:ascii="Times New Roman"/>
          <w:b w:val="false"/>
          <w:i w:val="false"/>
          <w:color w:val="000000"/>
          <w:sz w:val="28"/>
        </w:rPr>
        <w:t xml:space="preserve">      Дата ________________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Приложение </w:t>
      </w:r>
    </w:p>
    <w:bookmarkEnd w:id="0"/>
    <w:bookmarkStart w:name="z2" w:id="1"/>
    <w:p>
      <w:pPr>
        <w:spacing w:after="0"/>
        <w:ind w:left="0"/>
        <w:jc w:val="left"/>
      </w:pPr>
      <w:r>
        <w:rPr>
          <w:rFonts w:ascii="Times New Roman"/>
          <w:b/>
          <w:i w:val="false"/>
          <w:color w:val="000000"/>
        </w:rPr>
        <w:t xml:space="preserve"> 
      Цели, условия и положения гранта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Цели и мероприятия </w:t>
      </w:r>
    </w:p>
    <w:bookmarkEnd w:id="2"/>
    <w:p>
      <w:pPr>
        <w:spacing w:after="0"/>
        <w:ind w:left="0"/>
        <w:jc w:val="both"/>
      </w:pPr>
      <w:r>
        <w:rPr>
          <w:rFonts w:ascii="Times New Roman"/>
          <w:b w:val="false"/>
          <w:i w:val="false"/>
          <w:color w:val="000000"/>
          <w:sz w:val="28"/>
        </w:rPr>
        <w:t xml:space="preserve">      1.1 Целью Гранта является оказание помощи в подготовке Проекта восстановления окружающей среды г. Усть-Каменогорска (далее - Проект), основные задачи которого: (1) улучшение качества водоснабжения для населения и промышленной деятельности в г. Усть-Каменогорске; (2) предотвращение загрязнения реки Иртыш отходами токсичных металлов; (3) вовлечение крупных промышленных предприятий в решение приоритетных экологических проблем региона; (4) усиление деятельности природоохранных органов по управлению вопросами загрязнений. Мероприятия (далее - Мероприятия), на которые предоставляется Грант, включают следующее: </w:t>
      </w:r>
      <w:r>
        <w:br/>
      </w:r>
      <w:r>
        <w:rPr>
          <w:rFonts w:ascii="Times New Roman"/>
          <w:b w:val="false"/>
          <w:i w:val="false"/>
          <w:color w:val="000000"/>
          <w:sz w:val="28"/>
        </w:rPr>
        <w:t xml:space="preserve">
      (a) техническо-экономическое обоснование программы оздоровления грунтовых вод для оценки и анализа современного уровня загрязнения подземных вод промышленными предприятиями г. Усть-Каменогорска; ориентировочная стоимость данного мероприятия составляет сумму, эквивалентную 538500 долларов США; </w:t>
      </w:r>
      <w:r>
        <w:br/>
      </w:r>
      <w:r>
        <w:rPr>
          <w:rFonts w:ascii="Times New Roman"/>
          <w:b w:val="false"/>
          <w:i w:val="false"/>
          <w:color w:val="000000"/>
          <w:sz w:val="28"/>
        </w:rPr>
        <w:t xml:space="preserve">
      (b) оценка воздействия на окружающую среду программ оздоровления грунтовых вод и восстановления окружающей среды хвостохранилища; ориентировочная стоимость данного мероприятия составляет сумму, эквивалентную 110000 долларов США; </w:t>
      </w:r>
      <w:r>
        <w:br/>
      </w:r>
      <w:r>
        <w:rPr>
          <w:rFonts w:ascii="Times New Roman"/>
          <w:b w:val="false"/>
          <w:i w:val="false"/>
          <w:color w:val="000000"/>
          <w:sz w:val="28"/>
        </w:rPr>
        <w:t xml:space="preserve">
      (c) социальная оценка для выявления степени восприятия и воздействия существующего загрязнения грунтовых вод, хвостохранилищ, в целом промышленного загрязнения и прочих имеющих отношение факторов; ориентировочная стоимость данного мероприятия составляет сумму, эквивалентную 64000 долларов США; </w:t>
      </w:r>
      <w:r>
        <w:br/>
      </w:r>
      <w:r>
        <w:rPr>
          <w:rFonts w:ascii="Times New Roman"/>
          <w:b w:val="false"/>
          <w:i w:val="false"/>
          <w:color w:val="000000"/>
          <w:sz w:val="28"/>
        </w:rPr>
        <w:t xml:space="preserve">
      (d) финансовая и экономическая оценка; ориентировочная стоимость данного мероприятия составляет сумму, эквивалентную 22800 долларов США; </w:t>
      </w:r>
      <w:r>
        <w:br/>
      </w:r>
      <w:r>
        <w:rPr>
          <w:rFonts w:ascii="Times New Roman"/>
          <w:b w:val="false"/>
          <w:i w:val="false"/>
          <w:color w:val="000000"/>
          <w:sz w:val="28"/>
        </w:rPr>
        <w:t xml:space="preserve">
      (e) аудит Гранта; ориентировочная стоимость данного мероприятия составляет сумму, эквивалентную 20000 долларов США; </w:t>
      </w:r>
      <w:r>
        <w:br/>
      </w:r>
      <w:r>
        <w:rPr>
          <w:rFonts w:ascii="Times New Roman"/>
          <w:b w:val="false"/>
          <w:i w:val="false"/>
          <w:color w:val="000000"/>
          <w:sz w:val="28"/>
        </w:rPr>
        <w:t xml:space="preserve">
      (f) оценка, определение и рекомендации по кадровому составу и обучению на предмет осуществления закупок; ориентировочная стоимость данного мероприятия составляет сумму, эквивалентную 25400 долларов США; </w:t>
      </w:r>
      <w:r>
        <w:br/>
      </w:r>
      <w:r>
        <w:rPr>
          <w:rFonts w:ascii="Times New Roman"/>
          <w:b w:val="false"/>
          <w:i w:val="false"/>
          <w:color w:val="000000"/>
          <w:sz w:val="28"/>
        </w:rPr>
        <w:t xml:space="preserve">
      (g) прочая техническая помощь; ориентировочная стоимость данного мероприятия составляет сумму, эквивалентную 80000 долларов США. </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Реализация в целом </w:t>
      </w:r>
    </w:p>
    <w:bookmarkEnd w:id="3"/>
    <w:p>
      <w:pPr>
        <w:spacing w:after="0"/>
        <w:ind w:left="0"/>
        <w:jc w:val="both"/>
      </w:pPr>
      <w:r>
        <w:rPr>
          <w:rFonts w:ascii="Times New Roman"/>
          <w:b w:val="false"/>
          <w:i w:val="false"/>
          <w:color w:val="000000"/>
          <w:sz w:val="28"/>
        </w:rPr>
        <w:t xml:space="preserve">      2.1 Получатель, (а) выполняет мероприятия через Комитет по водным ресурсам Министерства сельского хозяйства Республики Казахстан с соблюдением существующих требований и достижением намеченных результатов; </w:t>
      </w:r>
      <w:r>
        <w:br/>
      </w:r>
      <w:r>
        <w:rPr>
          <w:rFonts w:ascii="Times New Roman"/>
          <w:b w:val="false"/>
          <w:i w:val="false"/>
          <w:color w:val="000000"/>
          <w:sz w:val="28"/>
        </w:rPr>
        <w:t xml:space="preserve">
      (b) немедленно предоставляет средства, оборудование, услуги и другие ресурсы, требующиеся для этой цели; (с) предоставляет всю информацию, относящуюся к Мероприятиям и использованию средств Гранта, которую Банк обоснованно запрашивает; (d) периодически проводит обмен мнениями с представителями Банка о ходе выполнения и результатах Мероприятий; (е) принимает все необходимые меры, требующиеся для того, чтобы предоставить Банку возможность посещать территорию Республики Казахстан для целей, связанных с Грантом; (f) следит за тем, чтобы все товары и услуги, финансируемые из средств Гранта, использовались исключительно для целей Проекта. </w:t>
      </w:r>
      <w:r>
        <w:br/>
      </w:r>
      <w:r>
        <w:rPr>
          <w:rFonts w:ascii="Times New Roman"/>
          <w:b w:val="false"/>
          <w:i w:val="false"/>
          <w:color w:val="000000"/>
          <w:sz w:val="28"/>
        </w:rPr>
        <w:t xml:space="preserve">
      Без ограничения вышеизложенного Получатель, если Банк так запрашивает, немедленно после завершения Мероприятий подготавливает и представляет Банку отчет, по форме и содержанию приемлемый для Банка, о результатах и влиянии Мероприятий. </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Закупки </w:t>
      </w:r>
    </w:p>
    <w:bookmarkEnd w:id="4"/>
    <w:p>
      <w:pPr>
        <w:spacing w:after="0"/>
        <w:ind w:left="0"/>
        <w:jc w:val="both"/>
      </w:pP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Мероприятий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Мероприятий, всегда осуществлялись с использованием надлежащих методов и чтобы любой ремонт или обновление таких объектов проводились оперативно по мере необходимости. </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Снятие средств Гранта </w:t>
      </w:r>
    </w:p>
    <w:bookmarkEnd w:id="5"/>
    <w:p>
      <w:pPr>
        <w:spacing w:after="0"/>
        <w:ind w:left="0"/>
        <w:jc w:val="both"/>
      </w:pP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Мероприятий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Мероприятий: </w:t>
      </w:r>
    </w:p>
    <w:p>
      <w:pPr>
        <w:spacing w:after="0"/>
        <w:ind w:left="0"/>
        <w:jc w:val="both"/>
      </w:pPr>
      <w:r>
        <w:rPr>
          <w:rFonts w:ascii="Times New Roman"/>
          <w:b w:val="false"/>
          <w:i w:val="false"/>
          <w:color w:val="000000"/>
          <w:sz w:val="28"/>
        </w:rPr>
        <w:t xml:space="preserve">        Статья        Сумма выделенных     % расходов, подлежащих </w:t>
      </w:r>
      <w:r>
        <w:br/>
      </w:r>
      <w:r>
        <w:rPr>
          <w:rFonts w:ascii="Times New Roman"/>
          <w:b w:val="false"/>
          <w:i w:val="false"/>
          <w:color w:val="000000"/>
          <w:sz w:val="28"/>
        </w:rPr>
        <w:t xml:space="preserve">
                       средств Гранта           </w:t>
      </w:r>
      <w:r>
        <w:rPr>
          <w:rFonts w:ascii="Times New Roman"/>
          <w:b w:val="false"/>
          <w:i w:val="false"/>
          <w:color w:val="000000"/>
          <w:sz w:val="28"/>
          <w:u w:val="single"/>
        </w:rPr>
        <w:t xml:space="preserve">финансированию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p>
      <w:pPr>
        <w:spacing w:after="0"/>
        <w:ind w:left="0"/>
        <w:jc w:val="both"/>
      </w:pPr>
      <w:r>
        <w:rPr>
          <w:rFonts w:ascii="Times New Roman"/>
          <w:b w:val="false"/>
          <w:i w:val="false"/>
          <w:color w:val="000000"/>
          <w:sz w:val="28"/>
        </w:rPr>
        <w:t xml:space="preserve">                                     [100 %1] </w:t>
      </w:r>
    </w:p>
    <w:p>
      <w:pPr>
        <w:spacing w:after="0"/>
        <w:ind w:left="0"/>
        <w:jc w:val="both"/>
      </w:pPr>
      <w:r>
        <w:rPr>
          <w:rFonts w:ascii="Times New Roman"/>
          <w:b w:val="false"/>
          <w:i w:val="false"/>
          <w:color w:val="000000"/>
          <w:sz w:val="28"/>
        </w:rPr>
        <w:t xml:space="preserve">(1) Консультационные       820700 </w:t>
      </w:r>
      <w:r>
        <w:br/>
      </w:r>
      <w:r>
        <w:rPr>
          <w:rFonts w:ascii="Times New Roman"/>
          <w:b w:val="false"/>
          <w:i w:val="false"/>
          <w:color w:val="000000"/>
          <w:sz w:val="28"/>
        </w:rPr>
        <w:t xml:space="preserve">
    услуги </w:t>
      </w:r>
    </w:p>
    <w:p>
      <w:pPr>
        <w:spacing w:after="0"/>
        <w:ind w:left="0"/>
        <w:jc w:val="both"/>
      </w:pPr>
      <w:r>
        <w:rPr>
          <w:rFonts w:ascii="Times New Roman"/>
          <w:b w:val="false"/>
          <w:i w:val="false"/>
          <w:color w:val="000000"/>
          <w:sz w:val="28"/>
        </w:rPr>
        <w:t xml:space="preserve">(2) Товары                  15000          100% расходов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100% расходов в местной </w:t>
      </w:r>
      <w:r>
        <w:br/>
      </w:r>
      <w:r>
        <w:rPr>
          <w:rFonts w:ascii="Times New Roman"/>
          <w:b w:val="false"/>
          <w:i w:val="false"/>
          <w:color w:val="000000"/>
          <w:sz w:val="28"/>
        </w:rPr>
        <w:t xml:space="preserve">
                                           валюте [(стоимость </w:t>
      </w:r>
      <w:r>
        <w:br/>
      </w:r>
      <w:r>
        <w:rPr>
          <w:rFonts w:ascii="Times New Roman"/>
          <w:b w:val="false"/>
          <w:i w:val="false"/>
          <w:color w:val="000000"/>
          <w:sz w:val="28"/>
        </w:rPr>
        <w:t xml:space="preserve">
                                           франко-завод)] и 85%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на другие статьи </w:t>
      </w:r>
      <w:r>
        <w:br/>
      </w:r>
      <w:r>
        <w:rPr>
          <w:rFonts w:ascii="Times New Roman"/>
          <w:b w:val="false"/>
          <w:i w:val="false"/>
          <w:color w:val="000000"/>
          <w:sz w:val="28"/>
        </w:rPr>
        <w:t xml:space="preserve">
                                           в рамках закупок на </w:t>
      </w:r>
      <w:r>
        <w:br/>
      </w:r>
      <w:r>
        <w:rPr>
          <w:rFonts w:ascii="Times New Roman"/>
          <w:b w:val="false"/>
          <w:i w:val="false"/>
          <w:color w:val="000000"/>
          <w:sz w:val="28"/>
        </w:rPr>
        <w:t xml:space="preserve">
                                           внутреннем рынке </w:t>
      </w:r>
    </w:p>
    <w:p>
      <w:pPr>
        <w:spacing w:after="0"/>
        <w:ind w:left="0"/>
        <w:jc w:val="both"/>
      </w:pPr>
      <w:r>
        <w:rPr>
          <w:rFonts w:ascii="Times New Roman"/>
          <w:b w:val="false"/>
          <w:i w:val="false"/>
          <w:color w:val="000000"/>
          <w:sz w:val="28"/>
        </w:rPr>
        <w:t xml:space="preserve">(3) Дополнительные          25000          90%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издержки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860700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Для целей данного пункта: </w:t>
      </w:r>
      <w:r>
        <w:br/>
      </w:r>
      <w:r>
        <w:rPr>
          <w:rFonts w:ascii="Times New Roman"/>
          <w:b w:val="false"/>
          <w:i w:val="false"/>
          <w:color w:val="000000"/>
          <w:sz w:val="28"/>
        </w:rPr>
        <w:t xml:space="preserve">
      (а) термин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w:t>
      </w:r>
      <w:r>
        <w:br/>
      </w:r>
      <w:r>
        <w:rPr>
          <w:rFonts w:ascii="Times New Roman"/>
          <w:b w:val="false"/>
          <w:i w:val="false"/>
          <w:color w:val="000000"/>
          <w:sz w:val="28"/>
        </w:rPr>
        <w:t xml:space="preserve">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этой валюте для оплаты таких товаров или услуг считаются расходами в иностранной валюте; </w:t>
      </w:r>
      <w:r>
        <w:br/>
      </w:r>
      <w:r>
        <w:rPr>
          <w:rFonts w:ascii="Times New Roman"/>
          <w:b w:val="false"/>
          <w:i w:val="false"/>
          <w:color w:val="000000"/>
          <w:sz w:val="28"/>
        </w:rPr>
        <w:t xml:space="preserve">
      (в) термин "дополнительные эксплуатационные издержки" означает дополнительные эксплуатационные издержки, понесенные Получателем в рамках Гранта, в том числе незначительное офисное оборудование (бумага, канцелярские товары и прочие расходные материалы, связанные с офисным оборудованием), распечаткой, факсом, переводом письменным и устным, услуги связи и транспорта. </w:t>
      </w:r>
    </w:p>
    <w:p>
      <w:pPr>
        <w:spacing w:after="0"/>
        <w:ind w:left="0"/>
        <w:jc w:val="both"/>
      </w:pPr>
      <w:r>
        <w:rPr>
          <w:rFonts w:ascii="Times New Roman"/>
          <w:b w:val="false"/>
          <w:i w:val="false"/>
          <w:color w:val="000000"/>
          <w:sz w:val="28"/>
        </w:rPr>
        <w:t xml:space="preserve">      4.3. Несмотря на положения пункта 4.2: </w:t>
      </w:r>
    </w:p>
    <w:p>
      <w:pPr>
        <w:spacing w:after="0"/>
        <w:ind w:left="0"/>
        <w:jc w:val="both"/>
      </w:pPr>
      <w:r>
        <w:rPr>
          <w:rFonts w:ascii="Times New Roman"/>
          <w:b w:val="false"/>
          <w:i w:val="false"/>
          <w:color w:val="000000"/>
          <w:sz w:val="28"/>
        </w:rPr>
        <w:t xml:space="preserve">      (а) средства со Счета Гранта не могут сниматься: (i) для оплаты расходов, произведенных до дня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произведенных на территории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ООН; </w:t>
      </w:r>
      <w:r>
        <w:br/>
      </w:r>
      <w:r>
        <w:rPr>
          <w:rFonts w:ascii="Times New Roman"/>
          <w:b w:val="false"/>
          <w:i w:val="false"/>
          <w:color w:val="000000"/>
          <w:sz w:val="28"/>
        </w:rPr>
        <w:t xml:space="preserve">
      (b) средства со Счета Гранта не могут сниматься после наступления 30 июня 2004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финансов или иным лицом, получившим от него письменные полномочия; и (b)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Мероприятий.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 которых составляет менее 100000 долларов США; (b) услуги индивидуальных консультантов, стоимость которых составляет менее 50000 долларов США; (с) товары и (d) дополнительные эксплуатационные издержки, при этом все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Мероприятий Получатель может открыть и вести специальный депозитный счет в долларах США (Специальный счет) в коммерческом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Бухгалтерские счета и аудит </w:t>
      </w:r>
    </w:p>
    <w:bookmarkEnd w:id="6"/>
    <w:p>
      <w:pPr>
        <w:spacing w:after="0"/>
        <w:ind w:left="0"/>
        <w:jc w:val="both"/>
      </w:pPr>
      <w:r>
        <w:rPr>
          <w:rFonts w:ascii="Times New Roman"/>
          <w:b w:val="false"/>
          <w:i w:val="false"/>
          <w:color w:val="000000"/>
          <w:sz w:val="28"/>
        </w:rPr>
        <w:t xml:space="preserve">      5.1. (а) Получатель ведет или обеспечивает ведение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Мероприятий,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иметь учетные документы, бухгалтерские счета и финансовые отчеты, указанные в подпункте (а) выше [, а также учетные документы и бухгалтерские счета, относящиеся к Специальному счету] за каждый финансовый год, прошедший аудиторскую проверку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Приостановка и аннулирование прав </w:t>
      </w:r>
    </w:p>
    <w:bookmarkEnd w:id="7"/>
    <w:p>
      <w:pPr>
        <w:spacing w:after="0"/>
        <w:ind w:left="0"/>
        <w:jc w:val="both"/>
      </w:pP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документе;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Мероприятий;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 </w:t>
      </w:r>
    </w:p>
    <w:bookmarkEnd w:id="8"/>
    <w:bookmarkStart w:name="z10" w:id="9"/>
    <w:p>
      <w:pPr>
        <w:spacing w:after="0"/>
        <w:ind w:left="0"/>
        <w:jc w:val="left"/>
      </w:pPr>
      <w:r>
        <w:rPr>
          <w:rFonts w:ascii="Times New Roman"/>
          <w:b/>
          <w:i w:val="false"/>
          <w:color w:val="000000"/>
        </w:rPr>
        <w:t xml:space="preserve"> 
       Закупки </w:t>
      </w:r>
    </w:p>
    <w:bookmarkEnd w:id="9"/>
    <w:bookmarkStart w:name="z11" w:id="10"/>
    <w:p>
      <w:pPr>
        <w:spacing w:after="0"/>
        <w:ind w:left="0"/>
        <w:jc w:val="both"/>
      </w:pPr>
      <w:r>
        <w:rPr>
          <w:rFonts w:ascii="Times New Roman"/>
          <w:b w:val="false"/>
          <w:i w:val="false"/>
          <w:color w:val="000000"/>
          <w:sz w:val="28"/>
        </w:rPr>
        <w:t xml:space="preserve">
            Раздел I. </w:t>
      </w:r>
      <w:r>
        <w:rPr>
          <w:rFonts w:ascii="Times New Roman"/>
          <w:b w:val="false"/>
          <w:i w:val="false"/>
          <w:color w:val="000000"/>
          <w:sz w:val="28"/>
          <w:u w:val="single"/>
        </w:rPr>
        <w:t xml:space="preserve">Услуги консультантов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Часть А: </w:t>
      </w:r>
      <w:r>
        <w:rPr>
          <w:rFonts w:ascii="Times New Roman"/>
          <w:b w:val="false"/>
          <w:i w:val="false"/>
          <w:color w:val="000000"/>
          <w:sz w:val="28"/>
          <w:u w:val="single"/>
        </w:rPr>
        <w:t xml:space="preserve">Общие положения </w:t>
      </w:r>
    </w:p>
    <w:bookmarkEnd w:id="11"/>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bookmarkStart w:name="z13" w:id="12"/>
    <w:p>
      <w:pPr>
        <w:spacing w:after="0"/>
        <w:ind w:left="0"/>
        <w:jc w:val="both"/>
      </w:pPr>
      <w:r>
        <w:rPr>
          <w:rFonts w:ascii="Times New Roman"/>
          <w:b w:val="false"/>
          <w:i w:val="false"/>
          <w:color w:val="000000"/>
          <w:sz w:val="28"/>
        </w:rPr>
        <w:t xml:space="preserve">
            Часть В: </w:t>
      </w:r>
      <w:r>
        <w:rPr>
          <w:rFonts w:ascii="Times New Roman"/>
          <w:b w:val="false"/>
          <w:i w:val="false"/>
          <w:color w:val="000000"/>
          <w:sz w:val="28"/>
          <w:u w:val="single"/>
        </w:rPr>
        <w:t xml:space="preserve">Отбор по качеству и стоимости </w:t>
      </w:r>
    </w:p>
    <w:bookmarkEnd w:id="12"/>
    <w:p>
      <w:pPr>
        <w:spacing w:after="0"/>
        <w:ind w:left="0"/>
        <w:jc w:val="both"/>
      </w:pPr>
      <w:r>
        <w:rPr>
          <w:rFonts w:ascii="Times New Roman"/>
          <w:b w:val="false"/>
          <w:i w:val="false"/>
          <w:color w:val="000000"/>
          <w:sz w:val="28"/>
        </w:rPr>
        <w:t xml:space="preserve">      [1.] За исключением иных положений Части С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r>
        <w:br/>
      </w:r>
      <w:r>
        <w:rPr>
          <w:rFonts w:ascii="Times New Roman"/>
          <w:b w:val="false"/>
          <w:i w:val="false"/>
          <w:color w:val="000000"/>
          <w:sz w:val="28"/>
        </w:rPr>
        <w:t xml:space="preserve">
      2. Следующие положения распространяются на услуги консультантов, которые закупаются в рамках контрактов, присуждаемых в соответствии с положениями предыдущего пункта: в состав краткого перечня консультантов для оказания услуг по социальной оценке и функций аудита, ориентировочная стоимость которых составляет менее 100000 долларов США из расчета на один контракт, могут входить только национальные консультанты, как это предусмотрено положениями пункта 2.7 и сноски 8 Руководства по консультантам. </w:t>
      </w:r>
    </w:p>
    <w:bookmarkStart w:name="z14" w:id="13"/>
    <w:p>
      <w:pPr>
        <w:spacing w:after="0"/>
        <w:ind w:left="0"/>
        <w:jc w:val="both"/>
      </w:pPr>
      <w:r>
        <w:rPr>
          <w:rFonts w:ascii="Times New Roman"/>
          <w:b w:val="false"/>
          <w:i w:val="false"/>
          <w:color w:val="000000"/>
          <w:sz w:val="28"/>
        </w:rPr>
        <w:t xml:space="preserve">
            Часть С: </w:t>
      </w:r>
      <w:r>
        <w:rPr>
          <w:rFonts w:ascii="Times New Roman"/>
          <w:b w:val="false"/>
          <w:i w:val="false"/>
          <w:color w:val="000000"/>
          <w:sz w:val="28"/>
          <w:u w:val="single"/>
        </w:rPr>
        <w:t xml:space="preserve">Прочие процедуры для отбора Консультантов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в условиях фиксированного бюджета </w:t>
      </w:r>
    </w:p>
    <w:bookmarkEnd w:id="14"/>
    <w:p>
      <w:pPr>
        <w:spacing w:after="0"/>
        <w:ind w:left="0"/>
        <w:jc w:val="both"/>
      </w:pPr>
      <w:r>
        <w:rPr>
          <w:rFonts w:ascii="Times New Roman"/>
          <w:b w:val="false"/>
          <w:i w:val="false"/>
          <w:color w:val="000000"/>
          <w:sz w:val="28"/>
        </w:rPr>
        <w:t xml:space="preserve">      Услуги по подготовке технико-экономического обоснования и оценки воздействия на окружающую среду могут закупаться в рамках контрактов, присуждаемых в соответствии с положениями пунктов 3.1 и 3.5 Руководства по консультантам. </w:t>
      </w:r>
    </w:p>
    <w:bookmarkStart w:name="z16"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Отбор по квалификации консультантов </w:t>
      </w:r>
    </w:p>
    <w:bookmarkEnd w:id="15"/>
    <w:p>
      <w:pPr>
        <w:spacing w:after="0"/>
        <w:ind w:left="0"/>
        <w:jc w:val="both"/>
      </w:pPr>
      <w:r>
        <w:rPr>
          <w:rFonts w:ascii="Times New Roman"/>
          <w:b w:val="false"/>
          <w:i w:val="false"/>
          <w:color w:val="000000"/>
          <w:sz w:val="28"/>
        </w:rPr>
        <w:t xml:space="preserve">      Услуги по социальной оценке и аудиту, ориентировочная стоимость которых составляет менее 100 000 долларов США из расчета на один контракт, могут закупаться в рамках контрактов, присуждаемых в соответствии с положениями пунктов 3.1 и 3.7 Руководства по консультантам. </w:t>
      </w:r>
    </w:p>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Индивидуальные консультанты </w:t>
      </w:r>
    </w:p>
    <w:bookmarkEnd w:id="16"/>
    <w:p>
      <w:pPr>
        <w:spacing w:after="0"/>
        <w:ind w:left="0"/>
        <w:jc w:val="both"/>
      </w:pPr>
      <w:r>
        <w:rPr>
          <w:rFonts w:ascii="Times New Roman"/>
          <w:b w:val="false"/>
          <w:i w:val="false"/>
          <w:color w:val="000000"/>
          <w:sz w:val="28"/>
        </w:rPr>
        <w:t xml:space="preserve">      Услуги индивидуальных консультантов по финансовой и экономической оценкам, анализу закупок и прочим видам технической помощи, отвечающие требованиям, изложенным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bookmarkStart w:name="z18" w:id="17"/>
    <w:p>
      <w:pPr>
        <w:spacing w:after="0"/>
        <w:ind w:left="0"/>
        <w:jc w:val="both"/>
      </w:pPr>
      <w:r>
        <w:rPr>
          <w:rFonts w:ascii="Times New Roman"/>
          <w:b w:val="false"/>
          <w:i w:val="false"/>
          <w:color w:val="000000"/>
          <w:sz w:val="28"/>
        </w:rPr>
        <w:t xml:space="preserve">
            Часть D: </w:t>
      </w:r>
      <w:r>
        <w:rPr>
          <w:rFonts w:ascii="Times New Roman"/>
          <w:b w:val="false"/>
          <w:i w:val="false"/>
          <w:color w:val="000000"/>
          <w:sz w:val="28"/>
          <w:u w:val="single"/>
        </w:rPr>
        <w:t xml:space="preserve">Рассмотрение Банком отбора консультантов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p>
    <w:bookmarkEnd w:id="18"/>
    <w:p>
      <w:pPr>
        <w:spacing w:after="0"/>
        <w:ind w:left="0"/>
        <w:jc w:val="both"/>
      </w:pP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p>
    <w:bookmarkEnd w:id="19"/>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которых составляет 100000 долларов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услуг которых составляет 50000 долларов США или выше,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bookmarkStart w:name="z2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p>
    <w:bookmarkEnd w:id="20"/>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bookmarkStart w:name="z22" w:id="21"/>
    <w:p>
      <w:pPr>
        <w:spacing w:after="0"/>
        <w:ind w:left="0"/>
        <w:jc w:val="both"/>
      </w:pPr>
      <w:r>
        <w:rPr>
          <w:rFonts w:ascii="Times New Roman"/>
          <w:b w:val="false"/>
          <w:i w:val="false"/>
          <w:color w:val="000000"/>
          <w:sz w:val="28"/>
        </w:rPr>
        <w:t xml:space="preserve">
            Раздел II. </w:t>
      </w:r>
      <w:r>
        <w:rPr>
          <w:rFonts w:ascii="Times New Roman"/>
          <w:b w:val="false"/>
          <w:i w:val="false"/>
          <w:color w:val="000000"/>
          <w:sz w:val="28"/>
          <w:u w:val="single"/>
        </w:rPr>
        <w:t xml:space="preserve">Закупка товаров </w:t>
      </w:r>
    </w:p>
    <w:bookmarkEnd w:id="21"/>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слова "конкурсные предложения" в этом пункте читаются как "расценки".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II </w:t>
      </w:r>
    </w:p>
    <w:bookmarkEnd w:id="22"/>
    <w:bookmarkStart w:name="z24" w:id="23"/>
    <w:p>
      <w:pPr>
        <w:spacing w:after="0"/>
        <w:ind w:left="0"/>
        <w:jc w:val="left"/>
      </w:pPr>
      <w:r>
        <w:rPr>
          <w:rFonts w:ascii="Times New Roman"/>
          <w:b/>
          <w:i w:val="false"/>
          <w:color w:val="000000"/>
        </w:rPr>
        <w:t xml:space="preserve"> 
       Специальный счет </w:t>
      </w:r>
    </w:p>
    <w:bookmarkEnd w:id="23"/>
    <w:p>
      <w:pPr>
        <w:spacing w:after="0"/>
        <w:ind w:left="0"/>
        <w:jc w:val="both"/>
      </w:pPr>
      <w:r>
        <w:rPr>
          <w:rFonts w:ascii="Times New Roman"/>
          <w:b w:val="false"/>
          <w:i w:val="false"/>
          <w:color w:val="000000"/>
          <w:sz w:val="28"/>
        </w:rPr>
        <w:t xml:space="preserve">      1. Для целей настоящего Дополнения: </w:t>
      </w:r>
    </w:p>
    <w:p>
      <w:pPr>
        <w:spacing w:after="0"/>
        <w:ind w:left="0"/>
        <w:jc w:val="both"/>
      </w:pPr>
      <w:r>
        <w:rPr>
          <w:rFonts w:ascii="Times New Roman"/>
          <w:b w:val="false"/>
          <w:i w:val="false"/>
          <w:color w:val="000000"/>
          <w:sz w:val="28"/>
        </w:rPr>
        <w:t xml:space="preserve">      (a) термин "приемлемые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(c) термин "Санкционированное отчисление" означает сумму, эквивалентную 75000 долларов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на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