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c180" w14:textId="d59c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Таможенной конвенции, касающейся контейнеров, 1972 года</w:t>
      </w:r>
    </w:p>
    <w:p>
      <w:pPr>
        <w:spacing w:after="0"/>
        <w:ind w:left="0"/>
        <w:jc w:val="both"/>
      </w:pPr>
      <w:r>
        <w:rPr>
          <w:rFonts w:ascii="Times New Roman"/>
          <w:b w:val="false"/>
          <w:i w:val="false"/>
          <w:color w:val="000000"/>
          <w:sz w:val="28"/>
        </w:rPr>
        <w:t>Закон Республики Казахстан от 6 мая 2002 года № 319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Таможенной конвенции, 
касающейся контейнеров, 1972 года, совершенной в Женеве 2 декабря 1972 
года.
     Президент
     Республики Казахстан
        Таможенная конвенция, касающаяся контейнеров, 1972 года
                             Преамбула     
     Договаривающиеся стороны,
     желая расширить и облегчить международные контейнерные перевозки,
     согласились о нижеследующем: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применении настоящей Конвенции:
</w:t>
      </w:r>
      <w:r>
        <w:br/>
      </w:r>
      <w:r>
        <w:rPr>
          <w:rFonts w:ascii="Times New Roman"/>
          <w:b w:val="false"/>
          <w:i w:val="false"/>
          <w:color w:val="000000"/>
          <w:sz w:val="28"/>
        </w:rPr>
        <w:t>
          a) термин "ввозные пошлины и сборы" означает таможенные пошлины и все 
другие пошлины, налоги, сборы и прочие суммы, взимаемые при ввозе или в 
связи с ввозом грузов, но исключая суммы и сборы, ограниченные по величине 
до приблизительной стоимости оказанных услуг;
</w:t>
      </w:r>
      <w:r>
        <w:br/>
      </w:r>
      <w:r>
        <w:rPr>
          <w:rFonts w:ascii="Times New Roman"/>
          <w:b w:val="false"/>
          <w:i w:val="false"/>
          <w:color w:val="000000"/>
          <w:sz w:val="28"/>
        </w:rPr>
        <w:t>
          b) термин "временный ввоз" означает временный ввоз - при условии 
последующего вывоза - с освобождением от уплаты таможенных пошлин и сборов 
и без применения импортных запрещений и ограничений;
</w:t>
      </w:r>
      <w:r>
        <w:br/>
      </w:r>
      <w:r>
        <w:rPr>
          <w:rFonts w:ascii="Times New Roman"/>
          <w:b w:val="false"/>
          <w:i w:val="false"/>
          <w:color w:val="000000"/>
          <w:sz w:val="28"/>
        </w:rPr>
        <w:t>
          c) термин "контейнер" означает транспортное оборудование (клетка, 
съемная цистерна или подобное приспособление):
</w:t>
      </w:r>
      <w:r>
        <w:br/>
      </w:r>
      <w:r>
        <w:rPr>
          <w:rFonts w:ascii="Times New Roman"/>
          <w:b w:val="false"/>
          <w:i w:val="false"/>
          <w:color w:val="000000"/>
          <w:sz w:val="28"/>
        </w:rPr>
        <w:t>
          i) представляющее собой полностью или частично закрытую емкость, 
предназначенную для помещения в нее грузов;(*)
_________________
(*) См. Приложение 6, 0.1. с) i)-1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имеющее постоянный характер и в силу этого достаточно прочное, 
чтобы служить для многократного использования;
</w:t>
      </w:r>
      <w:r>
        <w:br/>
      </w:r>
      <w:r>
        <w:rPr>
          <w:rFonts w:ascii="Times New Roman"/>
          <w:b w:val="false"/>
          <w:i w:val="false"/>
          <w:color w:val="000000"/>
          <w:sz w:val="28"/>
        </w:rPr>
        <w:t>
          iii) специально сконструированное для облегчения перевозки грузов 
одним или несколькими видами транспорта без промежуточной перегрузки 
грузов;
</w:t>
      </w:r>
      <w:r>
        <w:br/>
      </w:r>
      <w:r>
        <w:rPr>
          <w:rFonts w:ascii="Times New Roman"/>
          <w:b w:val="false"/>
          <w:i w:val="false"/>
          <w:color w:val="000000"/>
          <w:sz w:val="28"/>
        </w:rPr>
        <w:t>
          iv) сконструированное таким образом, чтобы была облегчена его 
перегрузка, в частности, с одного вида транспорта на другой;
</w:t>
      </w:r>
      <w:r>
        <w:br/>
      </w:r>
      <w:r>
        <w:rPr>
          <w:rFonts w:ascii="Times New Roman"/>
          <w:b w:val="false"/>
          <w:i w:val="false"/>
          <w:color w:val="000000"/>
          <w:sz w:val="28"/>
        </w:rPr>
        <w:t>
          v) сконструированное таким образом, чтобы его можно было легко 
загружать и разгружать;
</w:t>
      </w:r>
      <w:r>
        <w:br/>
      </w:r>
      <w:r>
        <w:rPr>
          <w:rFonts w:ascii="Times New Roman"/>
          <w:b w:val="false"/>
          <w:i w:val="false"/>
          <w:color w:val="000000"/>
          <w:sz w:val="28"/>
        </w:rPr>
        <w:t>
          vi) имеющее внутренний объем не менее одного кубического метра;
</w:t>
      </w:r>
      <w:r>
        <w:br/>
      </w:r>
      <w:r>
        <w:rPr>
          <w:rFonts w:ascii="Times New Roman"/>
          <w:b w:val="false"/>
          <w:i w:val="false"/>
          <w:color w:val="000000"/>
          <w:sz w:val="28"/>
        </w:rPr>
        <w:t>
          термин "контейнер" охватывает принадлежности и оборудование 
контейнера(*), необходимые для данного типа контейнера, при условии, что 
такие принадлежности и оборудование перевозятся вместе с контейнером. 
Термин "контейнер" не включает транспортные средства, принадлежности, 
запасные части транспортных средств и упаковку;
_________________
(*) См. Приложение 6, 0.1. с)-1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термин "внутренние перевозки" означает перевозки грузов, 
погруженных на территории данного государства и подлежащих разгрузке на 
территории того же государства;
</w:t>
      </w:r>
      <w:r>
        <w:br/>
      </w:r>
      <w:r>
        <w:rPr>
          <w:rFonts w:ascii="Times New Roman"/>
          <w:b w:val="false"/>
          <w:i w:val="false"/>
          <w:color w:val="000000"/>
          <w:sz w:val="28"/>
        </w:rPr>
        <w:t>
          e) термин "лицо" означает как физическое, так и юридическое лицо;
</w:t>
      </w:r>
      <w:r>
        <w:br/>
      </w:r>
      <w:r>
        <w:rPr>
          <w:rFonts w:ascii="Times New Roman"/>
          <w:b w:val="false"/>
          <w:i w:val="false"/>
          <w:color w:val="000000"/>
          <w:sz w:val="28"/>
        </w:rPr>
        <w:t>
          f) термин "предприятие по эксплуатации контейнеров" означает лицо, 
которое, независимо от того, является ли оно владельцем или нет, 
осуществляет эффективный контроль за использованием контейнера.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того, чтобы предусмотренные в настоящей Конвенции условия 
распространялись на контейнеры, последние должны маркироваться в 
соответствии с положениями, изложенными в Приложении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 
</w:t>
      </w:r>
      <w:r>
        <w:br/>
      </w:r>
      <w:r>
        <w:rPr>
          <w:rFonts w:ascii="Times New Roman"/>
          <w:b w:val="false"/>
          <w:i w:val="false"/>
          <w:color w:val="000000"/>
          <w:sz w:val="28"/>
        </w:rPr>
        <w:t>
                                                      Временный ввоз
</w:t>
      </w:r>
      <w:r>
        <w:br/>
      </w:r>
      <w:r>
        <w:rPr>
          <w:rFonts w:ascii="Times New Roman"/>
          <w:b w:val="false"/>
          <w:i w:val="false"/>
          <w:color w:val="000000"/>
          <w:sz w:val="28"/>
        </w:rPr>
        <w:t>
                                        а) Условия временного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выполнении условий, изложенных в статьях 4-9, каждая 
Договаривающаяся Сторона разрешает временный ввоз как груженных, так и 
порожних контейнеров.
</w:t>
      </w:r>
      <w:r>
        <w:br/>
      </w:r>
      <w:r>
        <w:rPr>
          <w:rFonts w:ascii="Times New Roman"/>
          <w:b w:val="false"/>
          <w:i w:val="false"/>
          <w:color w:val="000000"/>
          <w:sz w:val="28"/>
        </w:rPr>
        <w:t>
          2. Каждая Договаривающаяся Сторона оставляет за собой право не 
разрешать временный ввоз контейнеров, которые были предметом купли, аренды 
или аренды-купли или контракта аналогичного характера, заключенного лицом, 
проживающим или имеющим постоянное местожительство на ее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Контейнеры, ввезенные в соответствии с процедурой временного 
ввоза, подлежат вывозу в течение трех месяцев со дня их ввоза. Однако этот 
срок может быть продлен компетентными таможенными органами.
</w:t>
      </w:r>
      <w:r>
        <w:br/>
      </w:r>
      <w:r>
        <w:rPr>
          <w:rFonts w:ascii="Times New Roman"/>
          <w:b w:val="false"/>
          <w:i w:val="false"/>
          <w:color w:val="000000"/>
          <w:sz w:val="28"/>
        </w:rPr>
        <w:t>
          2. Вывоз контейнеров, ввезенных в соответствии с процедурой 
временного ввоза, может осуществляться через любую надлежащую таможню даже 
в том случае, если эта таможня не является таможней, через которую был 
осуществлен временный ввоз.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Несмотря на содержащееся в пункте 1 статьи 4 требование в 
отношении вывоза, это требование не будет применяться по отношению к 
серьезно поврежденным контейнерам при условии, что в соответствии с 
правилами данной страны и в той степени, в какой это разрешается ее 
таможенными органами, они будут:
</w:t>
      </w:r>
      <w:r>
        <w:br/>
      </w:r>
      <w:r>
        <w:rPr>
          <w:rFonts w:ascii="Times New Roman"/>
          <w:b w:val="false"/>
          <w:i w:val="false"/>
          <w:color w:val="000000"/>
          <w:sz w:val="28"/>
        </w:rPr>
        <w:t>
          a) обложены ввозными пошлинами и сборами, которые будут с них 
причитаться в тот момент, когда они были представлены, и с учетом 
состояния, в каком они были представлены; или
</w:t>
      </w:r>
      <w:r>
        <w:br/>
      </w:r>
      <w:r>
        <w:rPr>
          <w:rFonts w:ascii="Times New Roman"/>
          <w:b w:val="false"/>
          <w:i w:val="false"/>
          <w:color w:val="000000"/>
          <w:sz w:val="28"/>
        </w:rPr>
        <w:t>
          b) безвозмездно переданы компетентным органам этой страны; или
</w:t>
      </w:r>
      <w:r>
        <w:br/>
      </w:r>
      <w:r>
        <w:rPr>
          <w:rFonts w:ascii="Times New Roman"/>
          <w:b w:val="false"/>
          <w:i w:val="false"/>
          <w:color w:val="000000"/>
          <w:sz w:val="28"/>
        </w:rPr>
        <w:t>
          c) уничтожены под официальным контролем за счет заинтересованных 
сторон, причем уцелевшие детали или материалы будут обложены ввозными 
пошлинами и сборами, которые будут с них причитаться в тот момент, когда 
они были представлены, и с учетом состояния, в каком они были представлены.
</w:t>
      </w:r>
      <w:r>
        <w:br/>
      </w:r>
      <w:r>
        <w:rPr>
          <w:rFonts w:ascii="Times New Roman"/>
          <w:b w:val="false"/>
          <w:i w:val="false"/>
          <w:color w:val="000000"/>
          <w:sz w:val="28"/>
        </w:rPr>
        <w:t>
          2. Если контейнер, ввезенный в соответствии с процедурой временного 
ввоза, не может быть вывезен в результате ареста, исполнение требования о 
вывозе, предусмотренного в пункте 1 статьи 4, приостанавливается на время 
ареста.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Процедура временного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Без ущерба для положений статей 7 и 8, к контейнерам, временно 
ввезенным в соответствии с условиями настоящей Конвенции, применяется 
режим временного ввоза без предъявления таможенных документов при их ввозе 
и вывозе, а также без представления гарантий.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может обусловить временный ввоз 
контейнеров выполнением всех или части формальностей процедуры временного 
ввоза контейнеров, изложенной в Приложении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Договаривающаяся Сторона в тех случаях, когда положения статьи 
6 не могут быть применены, сохраняет за собой право требовать 
представления какого-либо вида гарантии и/или таможенных документов, 
касающихся ввоза или вывоза контейнера.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Условия использования контейнеров, ввезенных
</w:t>
      </w:r>
      <w:r>
        <w:br/>
      </w:r>
      <w:r>
        <w:rPr>
          <w:rFonts w:ascii="Times New Roman"/>
          <w:b w:val="false"/>
          <w:i w:val="false"/>
          <w:color w:val="000000"/>
          <w:sz w:val="28"/>
        </w:rPr>
        <w:t>
                              в соответствии с процедурой временного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разрешают использование контейнеров, 
ввезенных с применением процедуры временного ввоза в соответствии с 
положениями настоящей Конвенции, для внутренних перевозок грузов, и в этом 
случае каждая Договаривающаяся Сторона имеет право вменить в обязанность 
выполнение всех или некоторых условий, указанных в Приложении 3.
</w:t>
      </w:r>
      <w:r>
        <w:br/>
      </w:r>
      <w:r>
        <w:rPr>
          <w:rFonts w:ascii="Times New Roman"/>
          <w:b w:val="false"/>
          <w:i w:val="false"/>
          <w:color w:val="000000"/>
          <w:sz w:val="28"/>
        </w:rPr>
        <w:t>
          2. Положение, предусмотренное в пункте 1, будет применяться без 
ущерба для действующих на территории каждой Договаривающейся Стороны 
правил в отношении транспортных средств, буксирующих или перевозящих 
контейнеры.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Особые случаи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Разрешается временный ввоз запасных частей, предназначенных для 
ремонта временно ввезенных контейнеров.
</w:t>
      </w:r>
      <w:r>
        <w:br/>
      </w:r>
      <w:r>
        <w:rPr>
          <w:rFonts w:ascii="Times New Roman"/>
          <w:b w:val="false"/>
          <w:i w:val="false"/>
          <w:color w:val="000000"/>
          <w:sz w:val="28"/>
        </w:rPr>
        <w:t>
          2. Невывезенные замененные части будут в соответствии с правилами 
заинтересованной страны и в той степени, в какой это допускается 
таможенными органами этой страны:
</w:t>
      </w:r>
      <w:r>
        <w:br/>
      </w:r>
      <w:r>
        <w:rPr>
          <w:rFonts w:ascii="Times New Roman"/>
          <w:b w:val="false"/>
          <w:i w:val="false"/>
          <w:color w:val="000000"/>
          <w:sz w:val="28"/>
        </w:rPr>
        <w:t>
          a) обложены ввозными пошлинами и сборами, которые будут с них 
причитаться в тот момент, когда они были представлены, и с учетом 
состояния, в каком они представлены; или
</w:t>
      </w:r>
      <w:r>
        <w:br/>
      </w:r>
      <w:r>
        <w:rPr>
          <w:rFonts w:ascii="Times New Roman"/>
          <w:b w:val="false"/>
          <w:i w:val="false"/>
          <w:color w:val="000000"/>
          <w:sz w:val="28"/>
        </w:rPr>
        <w:t>
          b) безвозмездно переданы компетентным органам этой страны; или
</w:t>
      </w:r>
      <w:r>
        <w:br/>
      </w:r>
      <w:r>
        <w:rPr>
          <w:rFonts w:ascii="Times New Roman"/>
          <w:b w:val="false"/>
          <w:i w:val="false"/>
          <w:color w:val="000000"/>
          <w:sz w:val="28"/>
        </w:rPr>
        <w:t>
          c) уничтожены под официальным контролем за счет заинтересованных 
сторон.
</w:t>
      </w:r>
      <w:r>
        <w:br/>
      </w:r>
      <w:r>
        <w:rPr>
          <w:rFonts w:ascii="Times New Roman"/>
          <w:b w:val="false"/>
          <w:i w:val="false"/>
          <w:color w:val="000000"/>
          <w:sz w:val="28"/>
        </w:rPr>
        <w:t>
          3. Положения статей 6, 7 и 8 будут применяться с соответствующими 
изменениями к временному ввозу запасных частей, предусмотренному в пункте 
</w:t>
      </w:r>
      <w:r>
        <w:br/>
      </w:r>
      <w:r>
        <w:rPr>
          <w:rFonts w:ascii="Times New Roman"/>
          <w:b w:val="false"/>
          <w:i w:val="false"/>
          <w:color w:val="000000"/>
          <w:sz w:val="28"/>
        </w:rPr>
        <w:t>
1.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Договаривающиеся Стороны согласились разрешить временный ввоз 
принадлежностей и оборудования временно ввезенных контейнеров, ввозимых 
либо вместе с контейнером и вывозимых отдельно или с другим контейнером, 
либо ввозимых отдельно и вывозимых вместе с контейнером.
</w:t>
      </w:r>
      <w:r>
        <w:br/>
      </w:r>
      <w:r>
        <w:rPr>
          <w:rFonts w:ascii="Times New Roman"/>
          <w:b w:val="false"/>
          <w:i w:val="false"/>
          <w:color w:val="000000"/>
          <w:sz w:val="28"/>
        </w:rPr>
        <w:t>
          2. Положения пункта 2 статьи 3 и статей 4, 5, 6, 7 и 8 будут 
применяться с соответствующими изменениями к временному ввозу 
принадлежностей и оборудования контейнеров, упомянутому в пункте 1. Эти 
принадлежности и оборудование могут использоваться во внутренних 
перевозках в соответствии с положениями пункта 1 статьи 9, когда они 
перевозятся вместе с контейнером, на который распространяются положения 
указанного пункта.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Допущение контейнеров к перевозкам под таможенными
</w:t>
      </w:r>
      <w:r>
        <w:br/>
      </w:r>
      <w:r>
        <w:rPr>
          <w:rFonts w:ascii="Times New Roman"/>
          <w:b w:val="false"/>
          <w:i w:val="false"/>
          <w:color w:val="000000"/>
          <w:sz w:val="28"/>
        </w:rPr>
        <w:t>
                                                    печатями и пломбами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целях допущения к перевозке грузов под таможенными печатями и
пломбами контейнеры должны отвечать положениям Правил, изложенных в 
Приложении 4.
</w:t>
      </w:r>
      <w:r>
        <w:br/>
      </w:r>
      <w:r>
        <w:rPr>
          <w:rFonts w:ascii="Times New Roman"/>
          <w:b w:val="false"/>
          <w:i w:val="false"/>
          <w:color w:val="000000"/>
          <w:sz w:val="28"/>
        </w:rPr>
        <w:t>
          2. Допущение производится в соответствии с одной из процедур, 
предусмотренных в Приложении 5.
</w:t>
      </w:r>
      <w:r>
        <w:br/>
      </w:r>
      <w:r>
        <w:rPr>
          <w:rFonts w:ascii="Times New Roman"/>
          <w:b w:val="false"/>
          <w:i w:val="false"/>
          <w:color w:val="000000"/>
          <w:sz w:val="28"/>
        </w:rPr>
        <w:t>
          3. Контейнеры, допущенные одной Договаривающейся Стороной для 
перевозки грузов под таможенными печатями и пломбами, допускаются другими 
Договаривающимися Сторонами при любом режиме международных перевозок под 
таможенными печатями и пломбами.
</w:t>
      </w:r>
      <w:r>
        <w:br/>
      </w:r>
      <w:r>
        <w:rPr>
          <w:rFonts w:ascii="Times New Roman"/>
          <w:b w:val="false"/>
          <w:i w:val="false"/>
          <w:color w:val="000000"/>
          <w:sz w:val="28"/>
        </w:rPr>
        <w:t>
          4. Каждая Договаривающаяся Сторона оставляет за собой право не 
признавать действительность свидетельств о допущении контейнеров, которые 
не отвечают условиям, изложенным в Приложении 4. Тем не менее 
Договаривающимся Сторонам не следует задерживать перевозки, когда 
обнаруженные дефекты не имеют большого значения и не связаны с 
возможностью контрабанды.
</w:t>
      </w:r>
      <w:r>
        <w:br/>
      </w:r>
      <w:r>
        <w:rPr>
          <w:rFonts w:ascii="Times New Roman"/>
          <w:b w:val="false"/>
          <w:i w:val="false"/>
          <w:color w:val="000000"/>
          <w:sz w:val="28"/>
        </w:rPr>
        <w:t>
          5. Перед повторным использованием для перевозки грузов под 
таможенными печатями и пломбами любой контейнер, свидетельство о допущении 
которого больше не признается, должен либо быть приведен в состояние, 
которое послужило основанием для его допущения, либо быть вновь подвергнут 
процедуре допущения.
</w:t>
      </w:r>
      <w:r>
        <w:br/>
      </w:r>
      <w:r>
        <w:rPr>
          <w:rFonts w:ascii="Times New Roman"/>
          <w:b w:val="false"/>
          <w:i w:val="false"/>
          <w:color w:val="000000"/>
          <w:sz w:val="28"/>
        </w:rPr>
        <w:t>
          6. Когда обнаруживается, что какой-либо дефект существовал во время 
процедуры допущения контейнера, ответственный за допущение компетентный 
орган информируется об этом.
</w:t>
      </w:r>
      <w:r>
        <w:br/>
      </w:r>
      <w:r>
        <w:rPr>
          <w:rFonts w:ascii="Times New Roman"/>
          <w:b w:val="false"/>
          <w:i w:val="false"/>
          <w:color w:val="000000"/>
          <w:sz w:val="28"/>
        </w:rPr>
        <w:t>
          7. Если обнаруживается, что контейнеры, допущенные для перевозки 
грузов под таможенными печатями и пломбами в соответствии с процедурами, 
описанными в пункте 1 а) и b) Приложения 5, фактически не отвечают 
техническим условиям Приложения 4, компетентный орган, который предоставил 
допущение, принимает меры, необходимые для приведения контейнеров в 
соответствие с требуемыми техническими условиями, или отменяет допущение.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Пояснительные записки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Пояснительные записки, приведенные в Приложении 6, содержат пояснение 
некоторых положений настоящей Конвенции и Приложений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Прочие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не препятствует применению более льготных 
условий, которые Договаривающиеся Стороны предоставляют или могут пожелать 
предоставить как в силу односторонних решений, так и на основе 
двусторонних или многосторонних соглашений, при условии, что 
предоставленные таким образом льготы не будут препятствовать применению 
положений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Всякое нарушение положений настоящей Конвенции, всякий подлог, ложная 
декларация или действие, имеющие следствием незаконное распространение на 
какое-либо лицо или предмет льгот, предоставляемых положениями настоящей 
Конвенции, влекут за собой санкции в стране, где совершено правонарушение, 
в соответствии с законами данной страны.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предоставляют друг другу при наличии 
соответствующей просьбы информацию, необходимую для применения положений 
настоящей Конвенции, и, в частности, информацию, относящуюся к допущению 
контейнеров, а также к техническим характеристикам их конструкции.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Приложения к настоящей Конвенции и Протокол о подписании являются 
неотъемлемой частью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
</w:t>
      </w:r>
      <w:r>
        <w:br/>
      </w:r>
      <w:r>
        <w:rPr>
          <w:rFonts w:ascii="Times New Roman"/>
          <w:b w:val="false"/>
          <w:i w:val="false"/>
          <w:color w:val="000000"/>
          <w:sz w:val="28"/>
        </w:rPr>
        <w:t>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Подписание, ратификация, принятие, одобрение 
</w:t>
      </w:r>
      <w:r>
        <w:br/>
      </w:r>
      <w:r>
        <w:rPr>
          <w:rFonts w:ascii="Times New Roman"/>
          <w:b w:val="false"/>
          <w:i w:val="false"/>
          <w:color w:val="000000"/>
          <w:sz w:val="28"/>
        </w:rPr>
        <w:t>
                                                      и присоединение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открыта для подписания до 15 января 1973 года 
в Отделении Организации Объединенных Наций в Женеве и впоследствии с 1 
февраля 1973 года до 31 декабря 1973 года включительно в Центральных 
Учреждениях Организации Объединенных Наций в Нью-Йорке всеми 
государствами-членами Организации Объединенных Наций либо любого 
специализированного учреждения или Международного агентства по атомной 
энергии, либо участниками Статута Международного Суда, а также любым 
другим государством, приглашенным Генеральной Ассамблеей Организация 
Объединенных Наций стать участником настоящей Конвенции.
</w:t>
      </w:r>
      <w:r>
        <w:br/>
      </w:r>
      <w:r>
        <w:rPr>
          <w:rFonts w:ascii="Times New Roman"/>
          <w:b w:val="false"/>
          <w:i w:val="false"/>
          <w:color w:val="000000"/>
          <w:sz w:val="28"/>
        </w:rPr>
        <w:t>
          2. Настоящая Конвенция подлежит ратификации, принятию или одобрению 
подписавшими ее государствами.
</w:t>
      </w:r>
      <w:r>
        <w:br/>
      </w:r>
      <w:r>
        <w:rPr>
          <w:rFonts w:ascii="Times New Roman"/>
          <w:b w:val="false"/>
          <w:i w:val="false"/>
          <w:color w:val="000000"/>
          <w:sz w:val="28"/>
        </w:rPr>
        <w:t>
          3. Настоящая Конвенция остается открытой для присоединения к ней 
любого из государств, указанных в пункте 1.
</w:t>
      </w:r>
      <w:r>
        <w:br/>
      </w:r>
      <w:r>
        <w:rPr>
          <w:rFonts w:ascii="Times New Roman"/>
          <w:b w:val="false"/>
          <w:i w:val="false"/>
          <w:color w:val="000000"/>
          <w:sz w:val="28"/>
        </w:rPr>
        <w:t>
          4. Документы о ратификации, принятии, одобрении или присоединении 
сдаются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по истечении девяти месяцев со 
дня сдачи на хранение пятого документа о ратификации, принятии, одобрении 
или присоединении.
</w:t>
      </w:r>
      <w:r>
        <w:br/>
      </w:r>
      <w:r>
        <w:rPr>
          <w:rFonts w:ascii="Times New Roman"/>
          <w:b w:val="false"/>
          <w:i w:val="false"/>
          <w:color w:val="000000"/>
          <w:sz w:val="28"/>
        </w:rPr>
        <w:t>
          2. Для каждого государства, ратифицировавшего, принявшего или 
одобрившего настоящую Конвенцию или присоединившегося к ней после сдачи на 
хранение пятого документа о ратификации, принятии, одобрении или 
присоединении, настоящая Конвенция вступает в силу по истечении шести 
месяцев со дня сдачи на хранение этим государством своего документа о 
ратификации, принятии, одобрении или присоединении.
</w:t>
      </w:r>
      <w:r>
        <w:br/>
      </w:r>
      <w:r>
        <w:rPr>
          <w:rFonts w:ascii="Times New Roman"/>
          <w:b w:val="false"/>
          <w:i w:val="false"/>
          <w:color w:val="000000"/>
          <w:sz w:val="28"/>
        </w:rPr>
        <w:t>
          3. Считается, что любой документ о ратификации, принятии, одобрении 
или присоединении, сданный на хранение после вступления в силу поправки к 
настоящей Конвенции, относится к измененному тексту Конвенции.
</w:t>
      </w:r>
      <w:r>
        <w:br/>
      </w:r>
      <w:r>
        <w:rPr>
          <w:rFonts w:ascii="Times New Roman"/>
          <w:b w:val="false"/>
          <w:i w:val="false"/>
          <w:color w:val="000000"/>
          <w:sz w:val="28"/>
        </w:rPr>
        <w:t>
          4. Считается, что любой такой документ, сданный на хранение после 
принятия поправки, но до вступления ее в силу, относится к измененному 
тексту Конвенции со дня вступления в силу этой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Прекращение действия Таможенной конвенции, 
</w:t>
      </w:r>
      <w:r>
        <w:br/>
      </w:r>
      <w:r>
        <w:rPr>
          <w:rFonts w:ascii="Times New Roman"/>
          <w:b w:val="false"/>
          <w:i w:val="false"/>
          <w:color w:val="000000"/>
          <w:sz w:val="28"/>
        </w:rPr>
        <w:t>
                                      касающейся контейнеров (1956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 момента вступления настоящей Конвенции в силу ею отменяется и 
заменяется в отношениях между участниками настоящей Конвенции Таможенная 
конвенция, касающаяся контейнеров, открытая для подписания в Женеве 18 мая 
1956 года.
</w:t>
      </w:r>
      <w:r>
        <w:br/>
      </w:r>
      <w:r>
        <w:rPr>
          <w:rFonts w:ascii="Times New Roman"/>
          <w:b w:val="false"/>
          <w:i w:val="false"/>
          <w:color w:val="000000"/>
          <w:sz w:val="28"/>
        </w:rPr>
        <w:t>
          2. Без ущерба для положений пунктов 1, 2 и 4 статьи 12 контейнеры, 
допущенные к перевозкам в соответствии с положениями Таможенной конвенции, 
касающейся контейнеров (1956 г.), или в соответствии с вытекающими из нее 
соглашениями, заключенными под эгидой Организации Объединенных Наций, 
допускаются любой Договаривающейся Стороной к перевозке грузов под 
таможенными печатями и пломбами, если они по-прежнему отвечают условиям, в 
соответствии с которыми они были первоначально допущены к перевозкам. С 
этой целью свидетельства о допущении, выданные в соответствии с 
положениями Таможенной конвенции, касающейся контейнеров (1956 г.), могут 
быть заменены табличкой о допущении до истечения срока действия этих 
свидетельств.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Процедура внесения поправок в настоящую Конвенцию, в 
</w:t>
      </w:r>
      <w:r>
        <w:br/>
      </w:r>
      <w:r>
        <w:rPr>
          <w:rFonts w:ascii="Times New Roman"/>
          <w:b w:val="false"/>
          <w:i w:val="false"/>
          <w:color w:val="000000"/>
          <w:sz w:val="28"/>
        </w:rPr>
        <w:t>
                                        том числе в Приложения к ней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Договаривающаяся Сторона может предложить одну или более 
поправок к настоящей Конвенции. Текст любой предложенной поправки 
сообщается Совету таможенного сотрудничества, который направляет его всем 
Договаривающимся Сторонам и информирует о нем государства, упомянутые в 
статье 18, не являющиеся Договаривающимися Сторонами. Совет таможенного 
сотрудничества должен также в соответствии с правилами процедуры, 
изложенными в Приложении 7, созвать Административный комитет.
</w:t>
      </w:r>
      <w:r>
        <w:br/>
      </w:r>
      <w:r>
        <w:rPr>
          <w:rFonts w:ascii="Times New Roman"/>
          <w:b w:val="false"/>
          <w:i w:val="false"/>
          <w:color w:val="000000"/>
          <w:sz w:val="28"/>
        </w:rPr>
        <w:t>
          2. Любая поправка, предложенная в соответствии с предыдущим пунктом 
или разработанная на сессии Комитета и одобренная большинством в две трети 
присутствующих и голосующих в Комитете, направляется Генеральному 
Секретарю Организации Объединенных Наций.
</w:t>
      </w:r>
      <w:r>
        <w:br/>
      </w:r>
      <w:r>
        <w:rPr>
          <w:rFonts w:ascii="Times New Roman"/>
          <w:b w:val="false"/>
          <w:i w:val="false"/>
          <w:color w:val="000000"/>
          <w:sz w:val="28"/>
        </w:rPr>
        <w:t>
          3. Генеральный Секретарь Организации Объединенных Наций сообщает 
текст поправки Договаривающимся Сторонам для принятия, а также 
государствам, упомянутым в статье 18, не являющимся Договаривающимися 
Сторонами, для их информации.
</w:t>
      </w:r>
      <w:r>
        <w:br/>
      </w:r>
      <w:r>
        <w:rPr>
          <w:rFonts w:ascii="Times New Roman"/>
          <w:b w:val="false"/>
          <w:i w:val="false"/>
          <w:color w:val="000000"/>
          <w:sz w:val="28"/>
        </w:rPr>
        <w:t>
          4. Любая предложенная поправка, о которой сообщается в соответствии с 
предыдущим пунктом, считается принятой, если в течение 12 месяцев с 
момента сообщения текста предложенной поправки Генеральным Секретарем 
Организации Объединенных Наций ни одна из Договаривающихся Сторон не 
заявила против нее возражения.
</w:t>
      </w:r>
      <w:r>
        <w:br/>
      </w:r>
      <w:r>
        <w:rPr>
          <w:rFonts w:ascii="Times New Roman"/>
          <w:b w:val="false"/>
          <w:i w:val="false"/>
          <w:color w:val="000000"/>
          <w:sz w:val="28"/>
        </w:rPr>
        <w:t>
          5. Генеральный Секретарь Организации Объединенных Наций в возможно 
кратчайший срок уведомляет все Договаривающиеся Стороны и государства, 
упомянутые в статье 18, не являющиеся Договаривающимися Сторонами, о том, 
было ли заявлено возражение против предложенной поправки. Если о 
возражении против предложенной поправки было сообщено Генеральному 
Секретарю Организации Объединенных Наций, поправка считается непринятой, и 
в связи с ней не принимается никаких мер. Если о таком возражении не было 
сообщено Генеральному Секретарю Организации Объединенных Наций, поправка 
вступает в силу для всех Договаривающихся Сторон через три месяца по 
истечении периода в 12 месяцев, указанного в предыдущем пункте, или в 
такой более поздний срок, какой может быть определен Административным 
комитетом в момент ее принятия.
</w:t>
      </w:r>
      <w:r>
        <w:br/>
      </w:r>
      <w:r>
        <w:rPr>
          <w:rFonts w:ascii="Times New Roman"/>
          <w:b w:val="false"/>
          <w:i w:val="false"/>
          <w:color w:val="000000"/>
          <w:sz w:val="28"/>
        </w:rPr>
        <w:t>
          6. Любая Договаривающаяся Сторона может путем уведомления 
Генерального Секретаря Организации Объединенных Наций обратиться с 
просьбой о созыве конференции в целях пересмотра настоящей Конвенции. 
Генеральный Секретарь Организации Объединенных Наций уведомляет все 
Договаривающиеся Стороны об этой просьбе и созывает конференцию по 
пересмотру Конвенции, если в течение периода в четыре месяца с даты 
уведомления Генеральным Секретарем Организации Объединенных Наций не менее 
одной трети Договаривающихся Сторон уведомят его о своей поддержке этой 
просьбы. Такая конференция созывается также Генеральным Секретарем 
Организации Объединенных Наций по получении им соответствующей просьбы от 
Административного комитета. Административный комитет представляет такую 
просьбу при наличии соответствующего решения, принятого большинством 
присутствующих и голосующих в Комитете. Если конференция созывается в 
соответствии с настоящим пунктом, Генеральный Секретарь Организации 
Объединенных Наций приглашает для участия в ней все государства, 
упомянутые в статье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w:t>
      </w:r>
      <w:r>
        <w:br/>
      </w:r>
      <w:r>
        <w:rPr>
          <w:rFonts w:ascii="Times New Roman"/>
          <w:b w:val="false"/>
          <w:i w:val="false"/>
          <w:color w:val="000000"/>
          <w:sz w:val="28"/>
        </w:rPr>
        <w:t>
                                Особая процедура внесения поправок в 
</w:t>
      </w:r>
      <w:r>
        <w:br/>
      </w:r>
      <w:r>
        <w:rPr>
          <w:rFonts w:ascii="Times New Roman"/>
          <w:b w:val="false"/>
          <w:i w:val="false"/>
          <w:color w:val="000000"/>
          <w:sz w:val="28"/>
        </w:rPr>
        <w:t>
                                                Приложения 1, 4, 5 и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Независимо от процедуры внесения поправок, изложенной в статье 21, 
поправки в Приложения 1, 4, 5 и 6 могут вноситься, как это предусмотрено 
настоящей статьей, и в соответствии с правилами процедуры, изложенными в 
Приложении 7.
</w:t>
      </w:r>
      <w:r>
        <w:br/>
      </w:r>
      <w:r>
        <w:rPr>
          <w:rFonts w:ascii="Times New Roman"/>
          <w:b w:val="false"/>
          <w:i w:val="false"/>
          <w:color w:val="000000"/>
          <w:sz w:val="28"/>
        </w:rPr>
        <w:t>
          2. Любая Договаривающаяся Сторона направляет предложения о внесении 
поправок Совету таможенного сотрудничества. Совет таможенного 
сотрудничества доводит их до сведения Договаривающихся Сторон и 
государств, упомянутых в статье 18, не являющихся Договаривающимися 
Сторонами, и созывает Административный комитет.
</w:t>
      </w:r>
      <w:r>
        <w:br/>
      </w:r>
      <w:r>
        <w:rPr>
          <w:rFonts w:ascii="Times New Roman"/>
          <w:b w:val="false"/>
          <w:i w:val="false"/>
          <w:color w:val="000000"/>
          <w:sz w:val="28"/>
        </w:rPr>
        <w:t>
          3. Любая поправка, предложенная в соответствии с предыдущим пунктом 
или разработанная на сессии Комитета и принятая большинством в две трети 
присутствующих и голосующих в Комитете, направляется Генеральному 
Секретарю Организации Объединенных Наций.
</w:t>
      </w:r>
      <w:r>
        <w:br/>
      </w:r>
      <w:r>
        <w:rPr>
          <w:rFonts w:ascii="Times New Roman"/>
          <w:b w:val="false"/>
          <w:i w:val="false"/>
          <w:color w:val="000000"/>
          <w:sz w:val="28"/>
        </w:rPr>
        <w:t>
          4. Генеральный Секретарь Организации Объединенных Наций рассылает 
поправку Договаривающимся Сторонам для принятия, а также государствам, 
упомянутым в статье 18, не являющимся Договаривающимися Сторонами, для их 
информации.
</w:t>
      </w:r>
      <w:r>
        <w:br/>
      </w:r>
      <w:r>
        <w:rPr>
          <w:rFonts w:ascii="Times New Roman"/>
          <w:b w:val="false"/>
          <w:i w:val="false"/>
          <w:color w:val="000000"/>
          <w:sz w:val="28"/>
        </w:rPr>
        <w:t>
          5. Поправка считается принятой, если одна пятая или пять 
Договаривающихся Сторон, причем во внимание принимается меньшее из этих 
двух чисел, не уведомляют Генерального Секретаря Организации Объединенных 
Наций в течение 12 месяцев с момента направления предложенной поправки 
Генеральным Секретарем Организации Объединенных Наций Договаривающимся 
Сторонам о том, что они возражают против этого предложения. В отношении 
предложенной поправки, которая не принимается, не предусматривается 
никаких мер.
</w:t>
      </w:r>
      <w:r>
        <w:br/>
      </w:r>
      <w:r>
        <w:rPr>
          <w:rFonts w:ascii="Times New Roman"/>
          <w:b w:val="false"/>
          <w:i w:val="false"/>
          <w:color w:val="000000"/>
          <w:sz w:val="28"/>
        </w:rPr>
        <w:t>
          6. Если поправка принимается, она вступает в силу для всех 
Договаривающихся Сторон, которые не заявили возражения против данной 
предложенной поправки, через три месяца по истечении упомянутого в 
предыдущем пункте периода в двенадцать месяцев, или в такой более поздний 
срок, какой может быть определен Административным комитетом в момент ее 
принятия. В момент принятия поправки Комитет может также решить, что в 
течение переходного периода существующие Приложения останутся в силе 
полностью или частично наряду с такой поправкой.
</w:t>
      </w:r>
      <w:r>
        <w:br/>
      </w:r>
      <w:r>
        <w:rPr>
          <w:rFonts w:ascii="Times New Roman"/>
          <w:b w:val="false"/>
          <w:i w:val="false"/>
          <w:color w:val="000000"/>
          <w:sz w:val="28"/>
        </w:rPr>
        <w:t>
          7. Генеральный Секретарь Организации Объединенных Наций уведомляет о 
дате вступления в силу поправки Договаривающиеся Стороны и информирует 
государства, упомянутые в статье 18, не являющиеся Договаривающимися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w:t>
      </w:r>
      <w:r>
        <w:br/>
      </w:r>
      <w:r>
        <w:rPr>
          <w:rFonts w:ascii="Times New Roman"/>
          <w:b w:val="false"/>
          <w:i w:val="false"/>
          <w:color w:val="000000"/>
          <w:sz w:val="28"/>
        </w:rPr>
        <w:t>
                                                          Денонсация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Любая Договаривающаяся Сторона может денонсировать настоящую 
Конвенцию путем сдачи соответствующего документа на хранение Генеральному 
Секретарю Организации Объединенных Наций. Денонсация вступает в силу по 
истечении одного года со дня сдачи такого документа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w:t>
      </w:r>
      <w:r>
        <w:br/>
      </w:r>
      <w:r>
        <w:rPr>
          <w:rFonts w:ascii="Times New Roman"/>
          <w:b w:val="false"/>
          <w:i w:val="false"/>
          <w:color w:val="000000"/>
          <w:sz w:val="28"/>
        </w:rPr>
        <w:t>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теряет силу, если число Договаривающихся Сторон 
составляет менее пяти в течение какого-либо периода последовательных 
двенадцати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w:t>
      </w:r>
      <w:r>
        <w:br/>
      </w:r>
      <w:r>
        <w:rPr>
          <w:rFonts w:ascii="Times New Roman"/>
          <w:b w:val="false"/>
          <w:i w:val="false"/>
          <w:color w:val="000000"/>
          <w:sz w:val="28"/>
        </w:rPr>
        <w:t>
                                                    Разрешение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путем переговоров или другими средствами урегулирования, 
передается по просьбе одной из них арбитражному суду, составленному 
следующим образом: каждый участник спора назначает арбитра, и эти два 
арбитра назначают третьего арбитра, который является председателем. Если 
по истечении трех месяцев со дня получения просьбы один из участников не 
может назначить арбитра или арбитры не могут избрать председателя, любой 
из участников может обратиться к Генеральному Секретарю Организации 
Объединенных Наций с просьбой назначить арбитра или председателя 
арбитражного суда.
</w:t>
      </w:r>
      <w:r>
        <w:br/>
      </w:r>
      <w:r>
        <w:rPr>
          <w:rFonts w:ascii="Times New Roman"/>
          <w:b w:val="false"/>
          <w:i w:val="false"/>
          <w:color w:val="000000"/>
          <w:sz w:val="28"/>
        </w:rPr>
        <w:t>
          2. Решение арбитражного суда, назначенного в соответствии с 
положениями пункта 1, имеет обязательную силу для участников спора.        
</w:t>
      </w:r>
      <w:r>
        <w:br/>
      </w:r>
      <w:r>
        <w:rPr>
          <w:rFonts w:ascii="Times New Roman"/>
          <w:b w:val="false"/>
          <w:i w:val="false"/>
          <w:color w:val="000000"/>
          <w:sz w:val="28"/>
        </w:rPr>
        <w:t>
          3. Арбитражный суд устанавливает свои правила процедуры. 
</w:t>
      </w:r>
      <w:r>
        <w:br/>
      </w:r>
      <w:r>
        <w:rPr>
          <w:rFonts w:ascii="Times New Roman"/>
          <w:b w:val="false"/>
          <w:i w:val="false"/>
          <w:color w:val="000000"/>
          <w:sz w:val="28"/>
        </w:rPr>
        <w:t>
          4. Решения арбитражного суда относительно его процедуры и места
заседания, а также любого рассматриваемого им спора принимаются 
большинством голосов.
</w:t>
      </w:r>
      <w:r>
        <w:br/>
      </w:r>
      <w:r>
        <w:rPr>
          <w:rFonts w:ascii="Times New Roman"/>
          <w:b w:val="false"/>
          <w:i w:val="false"/>
          <w:color w:val="000000"/>
          <w:sz w:val="28"/>
        </w:rPr>
        <w:t>
          5. Любой спор, который может возникнуть между участниками спора в 
отношении толкования и выполнения решения, может быть передан любым из 
участников на рассмотрение арбитражного суда, который вынес это решение.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w:t>
      </w:r>
      <w:r>
        <w:br/>
      </w:r>
      <w:r>
        <w:rPr>
          <w:rFonts w:ascii="Times New Roman"/>
          <w:b w:val="false"/>
          <w:i w:val="false"/>
          <w:color w:val="000000"/>
          <w:sz w:val="28"/>
        </w:rPr>
        <w:t>
                                                            Оговорки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Оговорки к настоящей Конвенции допускаются, за исключением 
оговорок, относящихся к положениям статей 1-8, 12-17, 20, 25 и настоящей 
статьи, а также оговорок, относящихся к положениям, содержащимся в 
Приложениях, при условии, что эти оговорки представляются в письменном 
виде, и, если они представлены до сдачи на хранение документа о 
ратификации, принятии, одобрении или присоединении, они подтверждены в 
этом документе. Генеральный Секретарь Организации Объединенных Наций 
направляет эти оговорки всем государствам, указанным в статье 18. 
</w:t>
      </w:r>
      <w:r>
        <w:br/>
      </w:r>
      <w:r>
        <w:rPr>
          <w:rFonts w:ascii="Times New Roman"/>
          <w:b w:val="false"/>
          <w:i w:val="false"/>
          <w:color w:val="000000"/>
          <w:sz w:val="28"/>
        </w:rPr>
        <w:t>
          2. Любая оговорка, сделанная в соответствии с пунктом 1:
</w:t>
      </w:r>
      <w:r>
        <w:br/>
      </w:r>
      <w:r>
        <w:rPr>
          <w:rFonts w:ascii="Times New Roman"/>
          <w:b w:val="false"/>
          <w:i w:val="false"/>
          <w:color w:val="000000"/>
          <w:sz w:val="28"/>
        </w:rPr>
        <w:t>
          а) изменяет для Договаривающейся Стороны, сделавшей такую оговорку в 
рамках этой оговорки, положения настоящей Конвенции, к которым она 
относится; и
</w:t>
      </w:r>
      <w:r>
        <w:br/>
      </w:r>
      <w:r>
        <w:rPr>
          <w:rFonts w:ascii="Times New Roman"/>
          <w:b w:val="false"/>
          <w:i w:val="false"/>
          <w:color w:val="000000"/>
          <w:sz w:val="28"/>
        </w:rPr>
        <w:t>
          b) изменяет в такой же мере эти положения и для других 
Договаривающихся Сторон в их взаимоотношениях с Договаривающейся Стороной, 
сделавшей оговорку.
</w:t>
      </w:r>
      <w:r>
        <w:br/>
      </w:r>
      <w:r>
        <w:rPr>
          <w:rFonts w:ascii="Times New Roman"/>
          <w:b w:val="false"/>
          <w:i w:val="false"/>
          <w:color w:val="000000"/>
          <w:sz w:val="28"/>
        </w:rPr>
        <w:t>
          3. Любая Договаривающаяся Сторона, которая представила оговорку в 
соответствии с пунктом 1, может снять ее в любое время посредством 
уведомления, адресованного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w:t>
      </w:r>
      <w:r>
        <w:br/>
      </w:r>
      <w:r>
        <w:rPr>
          <w:rFonts w:ascii="Times New Roman"/>
          <w:b w:val="false"/>
          <w:i w:val="false"/>
          <w:color w:val="000000"/>
          <w:sz w:val="28"/>
        </w:rPr>
        <w:t>
                                                          Уведомление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Помимо уведомлений и сообщений, предусмотренных в статьях 21, 22 и 
26, Генеральный Секретарь Организации Объединенных Наций сообщает всем 
государствам, указанным в статье 18:
</w:t>
      </w:r>
      <w:r>
        <w:br/>
      </w:r>
      <w:r>
        <w:rPr>
          <w:rFonts w:ascii="Times New Roman"/>
          <w:b w:val="false"/>
          <w:i w:val="false"/>
          <w:color w:val="000000"/>
          <w:sz w:val="28"/>
        </w:rPr>
        <w:t>
          a) о подписании, ратификации, принятии, одобрении и присоединении в 
соответствии со статьей 18;
</w:t>
      </w:r>
      <w:r>
        <w:br/>
      </w:r>
      <w:r>
        <w:rPr>
          <w:rFonts w:ascii="Times New Roman"/>
          <w:b w:val="false"/>
          <w:i w:val="false"/>
          <w:color w:val="000000"/>
          <w:sz w:val="28"/>
        </w:rPr>
        <w:t>
          b) о датах вступления в силу настоящей Конвенции в соответствии со 
статьей 19;
</w:t>
      </w:r>
      <w:r>
        <w:br/>
      </w:r>
      <w:r>
        <w:rPr>
          <w:rFonts w:ascii="Times New Roman"/>
          <w:b w:val="false"/>
          <w:i w:val="false"/>
          <w:color w:val="000000"/>
          <w:sz w:val="28"/>
        </w:rPr>
        <w:t>
          с) о дате вступления в силу поправок к настоящей Конвенции в 
соответствии со статьями 21 и 22;
</w:t>
      </w:r>
      <w:r>
        <w:br/>
      </w:r>
      <w:r>
        <w:rPr>
          <w:rFonts w:ascii="Times New Roman"/>
          <w:b w:val="false"/>
          <w:i w:val="false"/>
          <w:color w:val="000000"/>
          <w:sz w:val="28"/>
        </w:rPr>
        <w:t>
          d) о денонсациях в соответствии со статьей 23;
</w:t>
      </w:r>
      <w:r>
        <w:br/>
      </w:r>
      <w:r>
        <w:rPr>
          <w:rFonts w:ascii="Times New Roman"/>
          <w:b w:val="false"/>
          <w:i w:val="false"/>
          <w:color w:val="000000"/>
          <w:sz w:val="28"/>
        </w:rPr>
        <w:t>
          е) о прекращении действия настоящей Конвенции в соответствии со 
статьей 24.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w:t>
      </w:r>
      <w:r>
        <w:br/>
      </w:r>
      <w:r>
        <w:rPr>
          <w:rFonts w:ascii="Times New Roman"/>
          <w:b w:val="false"/>
          <w:i w:val="false"/>
          <w:color w:val="000000"/>
          <w:sz w:val="28"/>
        </w:rPr>
        <w:t>
                                                    Аутентичные тексты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Подлинник настоящей Конвенции, английский,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который 
направляет должным образом заверенные копии всем государствам, указанным в 
статье 18.
</w:t>
      </w:r>
      <w:r>
        <w:br/>
      </w:r>
      <w:r>
        <w:rPr>
          <w:rFonts w:ascii="Times New Roman"/>
          <w:b w:val="false"/>
          <w:i w:val="false"/>
          <w:color w:val="000000"/>
          <w:sz w:val="28"/>
        </w:rPr>
        <w:t>
          В удостоверение чего нижеподписавшиеся Полномочные представители, 
должным образом уполномоченные своими правительствами, подписали 
настоящую Конвенцию.
</w:t>
      </w:r>
      <w:r>
        <w:br/>
      </w:r>
      <w:r>
        <w:rPr>
          <w:rFonts w:ascii="Times New Roman"/>
          <w:b w:val="false"/>
          <w:i w:val="false"/>
          <w:color w:val="000000"/>
          <w:sz w:val="28"/>
        </w:rPr>
        <w:t>
          Совершено в Женеве второго декабря тысяча девятьсот семьдесят второго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w:t>
      </w:r>
      <w:r>
        <w:br/>
      </w:r>
      <w:r>
        <w:rPr>
          <w:rFonts w:ascii="Times New Roman"/>
          <w:b w:val="false"/>
          <w:i w:val="false"/>
          <w:color w:val="000000"/>
          <w:sz w:val="28"/>
        </w:rPr>
        <w:t>
                                Положения, касающиеся маркировки контейнеров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соответствующем видном месте на контейнере должна быть прочным 
образом нанесена следующая информация:
</w:t>
      </w:r>
      <w:r>
        <w:br/>
      </w:r>
      <w:r>
        <w:rPr>
          <w:rFonts w:ascii="Times New Roman"/>
          <w:b w:val="false"/>
          <w:i w:val="false"/>
          <w:color w:val="000000"/>
          <w:sz w:val="28"/>
        </w:rPr>
        <w:t>
          a) идентификационные данные владельца или основного предприятия по 
эксплуатации контейнеров;
</w:t>
      </w:r>
      <w:r>
        <w:br/>
      </w:r>
      <w:r>
        <w:rPr>
          <w:rFonts w:ascii="Times New Roman"/>
          <w:b w:val="false"/>
          <w:i w:val="false"/>
          <w:color w:val="000000"/>
          <w:sz w:val="28"/>
        </w:rPr>
        <w:t>
          b) опознавательные знаки и номера контейнера, данные владельцем или 
предприятием по эксплуатации контейнеров; и
</w:t>
      </w:r>
      <w:r>
        <w:br/>
      </w:r>
      <w:r>
        <w:rPr>
          <w:rFonts w:ascii="Times New Roman"/>
          <w:b w:val="false"/>
          <w:i w:val="false"/>
          <w:color w:val="000000"/>
          <w:sz w:val="28"/>
        </w:rPr>
        <w:t>
          c) вес тары контейнера, включая все его постоянное оборудование.
</w:t>
      </w:r>
      <w:r>
        <w:br/>
      </w:r>
      <w:r>
        <w:rPr>
          <w:rFonts w:ascii="Times New Roman"/>
          <w:b w:val="false"/>
          <w:i w:val="false"/>
          <w:color w:val="000000"/>
          <w:sz w:val="28"/>
        </w:rPr>
        <w:t>
          2. Страна, которой принадлежит контейнер, может обозначаться 
полностью или с помощью кода страны ИСО альфа-2, предусмотренного    
Международной Нормой ИСО 3166(*), или в виде отличительного знака, 
используемого для обозначения страны регистрации автотранспортных средств, 
находящихся в международном движении. В каждой стране вопрос об указании 
на контейнерах ее названия или отличительного знака может регулироваться 
национальным законодательством. Идентификационные данные владельца или 
предприятия по эксплуатации контейнеров могут указываться либо полностью, 
либо с помощью ранее установленного опознавательного знака(*), исключая 
такие обозначения, как эмблемы или флаги.
_________________
(*)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На контейнерах, допущенных к перевозкам под таможенными печатями и 
пломбами, проставляются, кроме того, следующие данные, которые наносятся 
также на табличку о допущении в соответствии с положениями Приложения 5:
</w:t>
      </w:r>
      <w:r>
        <w:br/>
      </w:r>
      <w:r>
        <w:rPr>
          <w:rFonts w:ascii="Times New Roman"/>
          <w:b w:val="false"/>
          <w:i w:val="false"/>
          <w:color w:val="000000"/>
          <w:sz w:val="28"/>
        </w:rPr>
        <w:t>
          a) порядковый заводской номер (заводской номер); и
</w:t>
      </w:r>
      <w:r>
        <w:br/>
      </w:r>
      <w:r>
        <w:rPr>
          <w:rFonts w:ascii="Times New Roman"/>
          <w:b w:val="false"/>
          <w:i w:val="false"/>
          <w:color w:val="000000"/>
          <w:sz w:val="28"/>
        </w:rPr>
        <w:t>
          b) в случае, если они допускались по типу конструкции, 
опознавательные номера или буквы этого типа.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2
</w:t>
      </w:r>
      <w:r>
        <w:br/>
      </w:r>
      <w:r>
        <w:rPr>
          <w:rFonts w:ascii="Times New Roman"/>
          <w:b w:val="false"/>
          <w:i w:val="false"/>
          <w:color w:val="000000"/>
          <w:sz w:val="28"/>
        </w:rPr>
        <w:t>
                            Процедура временного ввоза, предусмотренная 
</w:t>
      </w:r>
      <w:r>
        <w:br/>
      </w:r>
      <w:r>
        <w:rPr>
          <w:rFonts w:ascii="Times New Roman"/>
          <w:b w:val="false"/>
          <w:i w:val="false"/>
          <w:color w:val="000000"/>
          <w:sz w:val="28"/>
        </w:rPr>
        <w:t>
                                          статьей 7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применении положений статьи 7 настоящей Конвенции каждая 
Договаривающаяся Сторона использует для проверки движения контейнеров, 
ввезенных в соответствии с процедурой временного ввоза, документы, в 
которых владельцы или предприятия по эксплуатации контейнеров или их 
представители регистрируют движение этих контейнеров.
</w:t>
      </w:r>
      <w:r>
        <w:br/>
      </w:r>
      <w:r>
        <w:rPr>
          <w:rFonts w:ascii="Times New Roman"/>
          <w:b w:val="false"/>
          <w:i w:val="false"/>
          <w:color w:val="000000"/>
          <w:sz w:val="28"/>
        </w:rPr>
        <w:t>
          2. Будут применяться следующие положения: 
</w:t>
      </w:r>
      <w:r>
        <w:br/>
      </w:r>
      <w:r>
        <w:rPr>
          <w:rFonts w:ascii="Times New Roman"/>
          <w:b w:val="false"/>
          <w:i w:val="false"/>
          <w:color w:val="000000"/>
          <w:sz w:val="28"/>
        </w:rPr>
        <w:t>
          a) владелец или предприятие по эксплуатации контейнеров должен быть 
представлен в стране, в которую контейнеры ввозятся в соответствии с 
процедурой временного ввоза; 
</w:t>
      </w:r>
      <w:r>
        <w:br/>
      </w:r>
      <w:r>
        <w:rPr>
          <w:rFonts w:ascii="Times New Roman"/>
          <w:b w:val="false"/>
          <w:i w:val="false"/>
          <w:color w:val="000000"/>
          <w:sz w:val="28"/>
        </w:rPr>
        <w:t>
          b) владелец или предприятие по эксплуатации контейнеров либо их 
представитель принимает в письменном виде обязательство:
</w:t>
      </w:r>
      <w:r>
        <w:br/>
      </w:r>
      <w:r>
        <w:rPr>
          <w:rFonts w:ascii="Times New Roman"/>
          <w:b w:val="false"/>
          <w:i w:val="false"/>
          <w:color w:val="000000"/>
          <w:sz w:val="28"/>
        </w:rPr>
        <w:t>
          i) предоставлять таможенным органам указанной страны по их требованию 
подробную информацию о движении каждого контейнера, ввезенного в 
соответствии с процедурой временного ввоза, включая дату и место его 
ввоза в данную страну и вывоза из данной страны;
</w:t>
      </w:r>
      <w:r>
        <w:br/>
      </w:r>
      <w:r>
        <w:rPr>
          <w:rFonts w:ascii="Times New Roman"/>
          <w:b w:val="false"/>
          <w:i w:val="false"/>
          <w:color w:val="000000"/>
          <w:sz w:val="28"/>
        </w:rPr>
        <w:t>
          ii) уплачивать ввозные пошлины и сборы, которые могут налагаться в 
тех случаях, когда не выполнены условия временного ввоза.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3
</w:t>
      </w:r>
      <w:r>
        <w:br/>
      </w:r>
      <w:r>
        <w:rPr>
          <w:rFonts w:ascii="Times New Roman"/>
          <w:b w:val="false"/>
          <w:i w:val="false"/>
          <w:color w:val="000000"/>
          <w:sz w:val="28"/>
        </w:rPr>
        <w:t>
                              Использование контейнеров во внутренних 
</w:t>
      </w:r>
      <w:r>
        <w:br/>
      </w:r>
      <w:r>
        <w:rPr>
          <w:rFonts w:ascii="Times New Roman"/>
          <w:b w:val="false"/>
          <w:i w:val="false"/>
          <w:color w:val="000000"/>
          <w:sz w:val="28"/>
        </w:rPr>
        <w:t>
                                                            перевозках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Каждой Договаривающейся Стороне предоставляется право предписывать в 
пределах своей территории следующие условия в отношении использования 
контейнеров во внутренних перевозках в соответствии с положениями статьи 9 
настоящей Конвенции:
</w:t>
      </w:r>
      <w:r>
        <w:br/>
      </w:r>
      <w:r>
        <w:rPr>
          <w:rFonts w:ascii="Times New Roman"/>
          <w:b w:val="false"/>
          <w:i w:val="false"/>
          <w:color w:val="000000"/>
          <w:sz w:val="28"/>
        </w:rPr>
        <w:t>
          a) в результате перевозки, осуществляемой по разумно прямому 
маршруту, контейнер доставляется к месту или возможно ближе к месту, где 
контейнер должен загружаться экспортным грузом или откуда он должен быть 
вывезен порожним;
</w:t>
      </w:r>
      <w:r>
        <w:br/>
      </w:r>
      <w:r>
        <w:rPr>
          <w:rFonts w:ascii="Times New Roman"/>
          <w:b w:val="false"/>
          <w:i w:val="false"/>
          <w:color w:val="000000"/>
          <w:sz w:val="28"/>
        </w:rPr>
        <w:t>
          b) перед вывозом контейнер используется во внутренних перевозках 
только один раз.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4
</w:t>
      </w:r>
      <w:r>
        <w:br/>
      </w:r>
      <w:r>
        <w:rPr>
          <w:rFonts w:ascii="Times New Roman"/>
          <w:b w:val="false"/>
          <w:i w:val="false"/>
          <w:color w:val="000000"/>
          <w:sz w:val="28"/>
        </w:rPr>
        <w:t>
                      Правила, касающиеся технических условий, применимых к 
</w:t>
      </w:r>
      <w:r>
        <w:br/>
      </w:r>
      <w:r>
        <w:rPr>
          <w:rFonts w:ascii="Times New Roman"/>
          <w:b w:val="false"/>
          <w:i w:val="false"/>
          <w:color w:val="000000"/>
          <w:sz w:val="28"/>
        </w:rPr>
        <w:t>
                      контейнерам, которые могут допускаться к международным 
</w:t>
      </w:r>
      <w:r>
        <w:br/>
      </w:r>
      <w:r>
        <w:rPr>
          <w:rFonts w:ascii="Times New Roman"/>
          <w:b w:val="false"/>
          <w:i w:val="false"/>
          <w:color w:val="000000"/>
          <w:sz w:val="28"/>
        </w:rPr>
        <w:t>
                            перевозкам под таможенными печатями и пломбами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Основные принципы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 международной перевозке грузов под таможенными печатями и пломбами 
могут допускаться лишь контейнеры, сконструированные и оборудованные таким 
образом:
</w:t>
      </w:r>
      <w:r>
        <w:br/>
      </w:r>
      <w:r>
        <w:rPr>
          <w:rFonts w:ascii="Times New Roman"/>
          <w:b w:val="false"/>
          <w:i w:val="false"/>
          <w:color w:val="000000"/>
          <w:sz w:val="28"/>
        </w:rPr>
        <w:t>
          a) чтобы грузы не могли извлекаться из опечатанной части контейнера 
или загружаться туда без оставления видимых следов взлома или повреждения 
таможенных печатей и пломб;
</w:t>
      </w:r>
      <w:r>
        <w:br/>
      </w:r>
      <w:r>
        <w:rPr>
          <w:rFonts w:ascii="Times New Roman"/>
          <w:b w:val="false"/>
          <w:i w:val="false"/>
          <w:color w:val="000000"/>
          <w:sz w:val="28"/>
        </w:rPr>
        <w:t>
          b) чтобы таможенные печати и пломбы могли налагаться простым и 
надежным способом;
</w:t>
      </w:r>
      <w:r>
        <w:br/>
      </w:r>
      <w:r>
        <w:rPr>
          <w:rFonts w:ascii="Times New Roman"/>
          <w:b w:val="false"/>
          <w:i w:val="false"/>
          <w:color w:val="000000"/>
          <w:sz w:val="28"/>
        </w:rPr>
        <w:t>
          c) чтобы в них не было никаких потайных мест для сокрытия грузов;
</w:t>
      </w:r>
      <w:r>
        <w:br/>
      </w:r>
      <w:r>
        <w:rPr>
          <w:rFonts w:ascii="Times New Roman"/>
          <w:b w:val="false"/>
          <w:i w:val="false"/>
          <w:color w:val="000000"/>
          <w:sz w:val="28"/>
        </w:rPr>
        <w:t>
          d) чтобы все места, в которые могут помещаться грузы, были легко 
доступны для таможенного досмотра.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Конструкция контейнеров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Для удовлетворения требованиям статьи 1 настоящих Правил:
</w:t>
      </w:r>
      <w:r>
        <w:br/>
      </w:r>
      <w:r>
        <w:rPr>
          <w:rFonts w:ascii="Times New Roman"/>
          <w:b w:val="false"/>
          <w:i w:val="false"/>
          <w:color w:val="000000"/>
          <w:sz w:val="28"/>
        </w:rPr>
        <w:t>
          а) составные элементы контейнера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 (*)
_________________
(*) См. Приложение 6, 4.2.1. а)-1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двери и прочие системы закрывания (включая запорные краны, крыши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крыши;(1)
________________
(1) См. Приложение 6, 4.2.1. b)-1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 вентиляционные и дренажные отверстия должны быть снабжены 
устройством, препятствующим доступу внутрь контейнера. Это устройство 
должно быть такой конструкции, чтобы его нельзя было снять снаружи и вновь 
поставить на место без оставления видимых следов.(2)
________________
(2) См. Приложение 6, 4.2.1. с)-1 и 4.2.1. с)-2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Несмотря на положения пункта с) статьи 1 настоящих Правил, 
разрешается наличие составных элементов контейнера,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
</w:t>
      </w:r>
      <w:r>
        <w:br/>
      </w:r>
      <w:r>
        <w:rPr>
          <w:rFonts w:ascii="Times New Roman"/>
          <w:b w:val="false"/>
          <w:i w:val="false"/>
          <w:color w:val="000000"/>
          <w:sz w:val="28"/>
        </w:rPr>
        <w:t>
          i) внутренняя обшивка контейнера должна быть устроена таким образом, 
чтобы ее нельзя было снимать и возвращать на место без оставления видимых 
следов; или
</w:t>
      </w:r>
      <w:r>
        <w:br/>
      </w:r>
      <w:r>
        <w:rPr>
          <w:rFonts w:ascii="Times New Roman"/>
          <w:b w:val="false"/>
          <w:i w:val="false"/>
          <w:color w:val="000000"/>
          <w:sz w:val="28"/>
        </w:rPr>
        <w:t>
          ii) количество указанных пространств должно быть ограничено до 
минимума, и эти пространства должны быть легко доступны для таможенного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Складные или разборные контейнеры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Складные или разборные контейнеры должны отвечать положениям статей 1 
и 2 настоящих Правил; кроме того, они должны иметь приспособления, 
фиксирующие различные части после сборки контейнера.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Крытые брезентом контейнеры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Положения статей 1, 2 и 3 настоящих Правил распространяются на 
крытые брезентом контейнеры в той мере, в какой они могут к ним 
применяться. Кроме того, эти контейнеры должны отвечать положениям 
настоящей статьи.
</w:t>
      </w:r>
      <w:r>
        <w:br/>
      </w:r>
      <w:r>
        <w:rPr>
          <w:rFonts w:ascii="Times New Roman"/>
          <w:b w:val="false"/>
          <w:i w:val="false"/>
          <w:color w:val="000000"/>
          <w:sz w:val="28"/>
        </w:rPr>
        <w:t>
          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грузу 
был невозможен без оставления видимых следов.
</w:t>
      </w:r>
      <w:r>
        <w:br/>
      </w:r>
      <w:r>
        <w:rPr>
          <w:rFonts w:ascii="Times New Roman"/>
          <w:b w:val="false"/>
          <w:i w:val="false"/>
          <w:color w:val="000000"/>
          <w:sz w:val="28"/>
        </w:rPr>
        <w:t>
          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N 1, приложенном к этим Правилам; однако, если на 
некоторых частях брезента (например, на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на рисунках N 2 
и 2а (1), приложенных к этим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машине.(2)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(2) См. Приложение 6, 4.4.3-1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Если брезент составлен из нескольких кусков ткани, покрытой 
пластмассой, эти куски могут быть также соединены посредством спайки 
соответственно рис. N 3,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5. Починка производится способом, показанным на рис. N 4, приложенном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пункта 3 настоящей статьи и 
рис. N 1, приложенным к настоящим Правилам. Починка брезента из ткани, 
покрытой пластмассой, может также производиться в соответствии с методом, 
описанным в пункте 4 настоящей статьи, но в этом случае пластмассовая 
лента должна накладываться с обеих сторон брезента (3), а заплата 
накладываться изнутри.
</w:t>
      </w:r>
      <w:r>
        <w:br/>
      </w:r>
      <w:r>
        <w:rPr>
          <w:rFonts w:ascii="Times New Roman"/>
          <w:b w:val="false"/>
          <w:i w:val="false"/>
          <w:color w:val="000000"/>
          <w:sz w:val="28"/>
        </w:rPr>
        <w:t>
________________
(3)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См. Приложение 6, 4.4.7-1.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 Брезент должен прикрепляться к контейнеру в точном соответствии 
с условиями, изложенными в пунктах а) и b) статьи 1 настоящих Правил. 
Предусматривается применение следующих видов крепления:
</w:t>
      </w:r>
      <w:r>
        <w:br/>
      </w:r>
      <w:r>
        <w:rPr>
          <w:rFonts w:ascii="Times New Roman"/>
          <w:b w:val="false"/>
          <w:i w:val="false"/>
          <w:color w:val="000000"/>
          <w:sz w:val="28"/>
        </w:rPr>
        <w:t>
          i) металлические кольца, прикрепляемые к контейнеру; 
</w:t>
      </w:r>
      <w:r>
        <w:br/>
      </w:r>
      <w:r>
        <w:rPr>
          <w:rFonts w:ascii="Times New Roman"/>
          <w:b w:val="false"/>
          <w:i w:val="false"/>
          <w:color w:val="000000"/>
          <w:sz w:val="28"/>
        </w:rPr>
        <w:t>
          ii) проушины по краям брезента;
</w:t>
      </w:r>
      <w:r>
        <w:br/>
      </w:r>
      <w:r>
        <w:rPr>
          <w:rFonts w:ascii="Times New Roman"/>
          <w:b w:val="false"/>
          <w:i w:val="false"/>
          <w:color w:val="000000"/>
          <w:sz w:val="28"/>
        </w:rPr>
        <w:t>
          iii)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Брезент должен находить на твердую часть контейнера по крайней мере 
на ширину 250 мм, измеренную от центра крепежных колец, если система 
конструкции контейнера сама по себе не препятствует доступу к грузам.(1)
________________
(1) См. Приложение 6, 4.4.6. а)-1, 4.4.6. а)-2 и 4.4.6. а)-3.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Если необходимо обеспечить глухое крепление краев брезента к 
контейнеру, соединение должно быть непрерывным и осуществляться при помощи 
прочных деталей.(2)
________________
(2) См. Приложение 6, 4.4.6. b)-1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Расстояние между кольцами и расстояние между проушинами не должны 
превышать 200 мм. Однако эти расстояния между кольцами и проушинами могут 
быть большими, но не превышать 300 мм с любой стороны стойки, если 
конструкция транспортного средства или брезента такова, что полностью 
исключает доступ в грузовое отделение. Проушины должны быть жесткими.(3) 
________________
(3)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См. Приложение 6, 4.4.7-1.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Должны применяться следующие виды крепления: 
</w:t>
      </w:r>
      <w:r>
        <w:br/>
      </w:r>
      <w:r>
        <w:rPr>
          <w:rFonts w:ascii="Times New Roman"/>
          <w:b w:val="false"/>
          <w:i w:val="false"/>
          <w:color w:val="000000"/>
          <w:sz w:val="28"/>
        </w:rPr>
        <w:t>
          а) стальной трос диаметром не менее 3 мм; или
</w:t>
      </w:r>
      <w:r>
        <w:br/>
      </w:r>
      <w:r>
        <w:rPr>
          <w:rFonts w:ascii="Times New Roman"/>
          <w:b w:val="false"/>
          <w:i w:val="false"/>
          <w:color w:val="000000"/>
          <w:sz w:val="28"/>
        </w:rPr>
        <w:t>
          b) веревка из пеньки или сизаля диаметром не менее 8 мм, заключенная 
в прозрачную нерастягивающуюся пластмассовую оболочку. 
Тросы могут заключаться в прозрачный нерастягивающийся кожух из 
пластмассы.(1)
________________
(1) См. Приложение 6, 4.4.8-1.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состоять из полой заклепки,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N 5, приложенный к настоящим Правилам).
</w:t>
      </w:r>
      <w:r>
        <w:br/>
      </w:r>
      <w:r>
        <w:rPr>
          <w:rFonts w:ascii="Times New Roman"/>
          <w:b w:val="false"/>
          <w:i w:val="false"/>
          <w:color w:val="000000"/>
          <w:sz w:val="28"/>
        </w:rPr>
        <w:t>
          10.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
</w:t>
      </w:r>
      <w:r>
        <w:br/>
      </w:r>
      <w:r>
        <w:rPr>
          <w:rFonts w:ascii="Times New Roman"/>
          <w:b w:val="false"/>
          <w:i w:val="false"/>
          <w:color w:val="000000"/>
          <w:sz w:val="28"/>
        </w:rPr>
        <w:t>
          a) откидной полы, пришитой или приваренной в соответствии с 
положениями пунктов 3 и 4 настоящей статьи;(2)
________________
(2) См. Приложение 6, 4.4.10. а)-1.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колец и проушин, отвечающих условиям пункта 7 настоящей статьи; и
</w:t>
      </w:r>
      <w:r>
        <w:br/>
      </w:r>
      <w:r>
        <w:rPr>
          <w:rFonts w:ascii="Times New Roman"/>
          <w:b w:val="false"/>
          <w:i w:val="false"/>
          <w:color w:val="000000"/>
          <w:sz w:val="28"/>
        </w:rPr>
        <w:t>
          c)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8 
настоящей статьи.(3)
________________
(3) См. Приложение 6, 4.4.10. с)-1 и 4.4.10. с)-2.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Откидная пола не нужна, если имеется специальное устройство (защитная 
перегородка и т.д.), которое препятствует доступу к грузам без оставления 
видимых следов.
</w:t>
      </w:r>
      <w:r>
        <w:br/>
      </w:r>
      <w:r>
        <w:rPr>
          <w:rFonts w:ascii="Times New Roman"/>
          <w:b w:val="false"/>
          <w:i w:val="false"/>
          <w:color w:val="000000"/>
          <w:sz w:val="28"/>
        </w:rPr>
        <w:t>
          11. Опознавательные знаки, которые должны проставляться на контейнере 
в соответствии с Приложением 1, и табличка о допущении, предусмотренная в 
Приложении 5, ни в коем случае не должны закрываться брезентом.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Переходные положения
     До 1 января 1977 года будет допускаться использование наконечников, 
соответствующих рис. N 5, прилагаемому к настоящим Правилам, даже если они 
будут включать полые заклепки ранее принятого типа с отверстиями, размеры 
которых меньше приведенных на этом рисунке.
                         Приложение 4 - Рис. N 1
           Брезент, изготовленный из нескольких кусков ткани
                         (См. бумажный вариант)
                         Приложение 4 - Рис. N 2 
            Брезент, изготовленный из нескольких кусков ткани
                         (См. бумажный вариант)
                         Приложение 4 - Рис. N 2 а)*
                  Брезент, изготовленный методом сшивания
                          нескольких кусков ткани
          _____________________     
          * Изменен на Первом совещании Административного комитета
            Таможенной конвенции, касающейся контейнеров, 1972 г. (11-13   
            мая 1981 г.); вступление в силу - 8 марта 1983 г.          
                         (См. бумажный вариант)
                         Приложение 4 - Рис. N 3
           Брезент, изготовленный из нескольких кусков ткани
                         (См. бумажный вариант)
                         Приложение 4 - Рис. N 4
                            Починка брезента
                          (См. бумажный вариант)
                         Приложение 4 - Рис. N 5
                           Образец наконечника
                          (См. бумажный вариант)
                             Приложение 5
                  Процедура допущения контейнеров, 
                отвечающих техническим требованиям, 
                   предусмотренным в Приложении 4
     Общие положения
     1. Контейнеры могут быть допущены к перевозке грузов под таможенными 
печатями и пломбами:
     a) либо на стадии производства - по типу конструкции (процедура 
допущения на стадии 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b) либо на каком-либо последующем этапе - в индивидуальном порядке 
или определенными партиями контейнеров одного и того же типа (процедура 
допущения на каком-либо этапе после изготовления).(1)
________________
(1) См. Приложение 6, 5.1-1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Общие положения для обеих процедур допущения
</w:t>
      </w:r>
      <w:r>
        <w:br/>
      </w:r>
      <w:r>
        <w:rPr>
          <w:rFonts w:ascii="Times New Roman"/>
          <w:b w:val="false"/>
          <w:i w:val="false"/>
          <w:color w:val="000000"/>
          <w:sz w:val="28"/>
        </w:rPr>
        <w:t>
          2. Компетентный орган, который осуществляет процедуру допущения, 
выдает после допущения предприятию, сделавшему заявку, свидетельство о 
допущении, действительное, в зависимости от обстоятельств, либо для 
неограниченного числа контейнеров допущенного типа, либо для определенного 
числа контейнеров.
</w:t>
      </w:r>
      <w:r>
        <w:br/>
      </w:r>
      <w:r>
        <w:rPr>
          <w:rFonts w:ascii="Times New Roman"/>
          <w:b w:val="false"/>
          <w:i w:val="false"/>
          <w:color w:val="000000"/>
          <w:sz w:val="28"/>
        </w:rPr>
        <w:t>
          3. Прежде чем приступить к перевозке грузов под таможенными печатями 
и пломбами, владелец свидетельства о допущении должен прикрепить табличку 
о допущении на допущенный контейнер (допущенные контейнеры).
</w:t>
      </w:r>
      <w:r>
        <w:br/>
      </w:r>
      <w:r>
        <w:rPr>
          <w:rFonts w:ascii="Times New Roman"/>
          <w:b w:val="false"/>
          <w:i w:val="false"/>
          <w:color w:val="000000"/>
          <w:sz w:val="28"/>
        </w:rPr>
        <w:t>
          4. Табличка о допущении должна прочно крепиться на хорошо видном 
месте рядом с любой другой табличкой о допущении, выдаваемой с 
официальными целями.
</w:t>
      </w:r>
      <w:r>
        <w:br/>
      </w:r>
      <w:r>
        <w:rPr>
          <w:rFonts w:ascii="Times New Roman"/>
          <w:b w:val="false"/>
          <w:i w:val="false"/>
          <w:color w:val="000000"/>
          <w:sz w:val="28"/>
        </w:rPr>
        <w:t>
          5. Табличка о допущении, соответствующая образцу N 1, который 
приводится в добавлении 1 к настоящему Приложению, представляет собой 
металлическую пластинку размером не менее 20 х 10 см. На ее поверхности 
должны быть выгравированы резцом, выдавлены рельефом или четко и прочно 
нанесены любым другим способом, по крайней мере на французском или 
английском языке, приводимые ниже надписи:
</w:t>
      </w:r>
      <w:r>
        <w:br/>
      </w:r>
      <w:r>
        <w:rPr>
          <w:rFonts w:ascii="Times New Roman"/>
          <w:b w:val="false"/>
          <w:i w:val="false"/>
          <w:color w:val="000000"/>
          <w:sz w:val="28"/>
        </w:rPr>
        <w:t>
          a) надпись "Допущен для перевозки под таможенными печатями и 
пломбами";
</w:t>
      </w:r>
      <w:r>
        <w:br/>
      </w:r>
      <w:r>
        <w:rPr>
          <w:rFonts w:ascii="Times New Roman"/>
          <w:b w:val="false"/>
          <w:i w:val="false"/>
          <w:color w:val="000000"/>
          <w:sz w:val="28"/>
        </w:rPr>
        <w:t>
          b) название страны, где контейнер был допущен, либо полностью, либо c 
помощью кода страны ИСО альфа-2, предусмотренного Международной Нормой 
ИСО 3166(1), либо в виде отличительного знака, используемого для указания 
страны регистрации автотранспортных средств, находящихся в международном 
движении, и номер свидетельства о допущении (цифры, буквы и т.д.), а также 
год допущения (например "NL/26/73" означает "Нидерланды, свидетельство о 
допущении N 26, выданное в 1973 году");
________________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- 10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порядковый номер контейнера, присвоенный ему заводом-изготовителем 
(заводской номер);
</w:t>
      </w:r>
      <w:r>
        <w:br/>
      </w:r>
      <w:r>
        <w:rPr>
          <w:rFonts w:ascii="Times New Roman"/>
          <w:b w:val="false"/>
          <w:i w:val="false"/>
          <w:color w:val="000000"/>
          <w:sz w:val="28"/>
        </w:rPr>
        <w:t>
          d) если контейнер допущен по типу конструкции - опознавательные 
номера или буквы данного типа контейнера.
</w:t>
      </w:r>
      <w:r>
        <w:br/>
      </w:r>
      <w:r>
        <w:rPr>
          <w:rFonts w:ascii="Times New Roman"/>
          <w:b w:val="false"/>
          <w:i w:val="false"/>
          <w:color w:val="000000"/>
          <w:sz w:val="28"/>
        </w:rPr>
        <w:t>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Особые положения, касающиеся допущения по типу конструкции на 
</w:t>
      </w:r>
      <w:r>
        <w:br/>
      </w:r>
      <w:r>
        <w:rPr>
          <w:rFonts w:ascii="Times New Roman"/>
          <w:b w:val="false"/>
          <w:i w:val="false"/>
          <w:color w:val="000000"/>
          <w:sz w:val="28"/>
        </w:rPr>
        <w:t>
          стадии производства
</w:t>
      </w:r>
      <w:r>
        <w:br/>
      </w:r>
      <w:r>
        <w:rPr>
          <w:rFonts w:ascii="Times New Roman"/>
          <w:b w:val="false"/>
          <w:i w:val="false"/>
          <w:color w:val="000000"/>
          <w:sz w:val="28"/>
        </w:rPr>
        <w:t>
          8. Когда контейнеры одного и того же типа конструкции строятся 
серийно, завод-изготовитель может обратиться к компетентному органу 
страны, в которой они производятся, с просьбой об их допущении по типу 
конструкции.
</w:t>
      </w:r>
      <w:r>
        <w:br/>
      </w:r>
      <w:r>
        <w:rPr>
          <w:rFonts w:ascii="Times New Roman"/>
          <w:b w:val="false"/>
          <w:i w:val="false"/>
          <w:color w:val="000000"/>
          <w:sz w:val="28"/>
        </w:rPr>
        <w:t>
          9. Завод-изготовитель должен указать в своей заявке опознавательные 
номера и буквы, которые он присваивает типу контейнеров, являющемуся 
предметом его заявки.
</w:t>
      </w:r>
      <w:r>
        <w:br/>
      </w:r>
      <w:r>
        <w:rPr>
          <w:rFonts w:ascii="Times New Roman"/>
          <w:b w:val="false"/>
          <w:i w:val="false"/>
          <w:color w:val="000000"/>
          <w:sz w:val="28"/>
        </w:rPr>
        <w:t>
          10. К этой заявке должны прилагаться чертежи и подробное описание 
типа конструкции контейнера, подлежащего допущению.
</w:t>
      </w:r>
      <w:r>
        <w:br/>
      </w:r>
      <w:r>
        <w:rPr>
          <w:rFonts w:ascii="Times New Roman"/>
          <w:b w:val="false"/>
          <w:i w:val="false"/>
          <w:color w:val="000000"/>
          <w:sz w:val="28"/>
        </w:rPr>
        <w:t>
          11. Завод-изготовитель должен письменно обязаться:
</w:t>
      </w:r>
      <w:r>
        <w:br/>
      </w:r>
      <w:r>
        <w:rPr>
          <w:rFonts w:ascii="Times New Roman"/>
          <w:b w:val="false"/>
          <w:i w:val="false"/>
          <w:color w:val="000000"/>
          <w:sz w:val="28"/>
        </w:rPr>
        <w:t>
          a) представить компетентному органу те из контейнеров данного типа, 
которые он пожелает осмотреть;
</w:t>
      </w:r>
      <w:r>
        <w:br/>
      </w:r>
      <w:r>
        <w:rPr>
          <w:rFonts w:ascii="Times New Roman"/>
          <w:b w:val="false"/>
          <w:i w:val="false"/>
          <w:color w:val="000000"/>
          <w:sz w:val="28"/>
        </w:rPr>
        <w:t>
          b) разрешить компетентному органу осматривать другие экземпляры в 
любой момент в ходе серийного производства данного типа;
</w:t>
      </w:r>
      <w:r>
        <w:br/>
      </w:r>
      <w:r>
        <w:rPr>
          <w:rFonts w:ascii="Times New Roman"/>
          <w:b w:val="false"/>
          <w:i w:val="false"/>
          <w:color w:val="000000"/>
          <w:sz w:val="28"/>
        </w:rPr>
        <w:t>
          c) информировать компетентный орган о любых изменениях в чертежах и 
описаниях конструкции, какой бы важности они ни были, до того как эти 
изменения будут произведены;
</w:t>
      </w:r>
      <w:r>
        <w:br/>
      </w:r>
      <w:r>
        <w:rPr>
          <w:rFonts w:ascii="Times New Roman"/>
          <w:b w:val="false"/>
          <w:i w:val="false"/>
          <w:color w:val="000000"/>
          <w:sz w:val="28"/>
        </w:rPr>
        <w:t>
          d) на видном месте наносить на контейнеры, кроме знаков, 
предусмотренных для табличек о допущении, опознавательные номера и буквы 
типа конструкции, а также порядковый номер каждого серийного выпускаемого 
контейнера данного типа (заводской номер);
</w:t>
      </w:r>
      <w:r>
        <w:br/>
      </w:r>
      <w:r>
        <w:rPr>
          <w:rFonts w:ascii="Times New Roman"/>
          <w:b w:val="false"/>
          <w:i w:val="false"/>
          <w:color w:val="000000"/>
          <w:sz w:val="28"/>
        </w:rPr>
        <w:t>
          e) вести учет контейнеров, построенных в соответствии с допущенным 
типом.
</w:t>
      </w:r>
      <w:r>
        <w:br/>
      </w:r>
      <w:r>
        <w:rPr>
          <w:rFonts w:ascii="Times New Roman"/>
          <w:b w:val="false"/>
          <w:i w:val="false"/>
          <w:color w:val="000000"/>
          <w:sz w:val="28"/>
        </w:rPr>
        <w:t>
          12. Компетентный орган указывает в случае необходимости изменения, 
которые следует внести в предусмотренный тип конструкции для допущения к 
перевозке.
</w:t>
      </w:r>
      <w:r>
        <w:br/>
      </w:r>
      <w:r>
        <w:rPr>
          <w:rFonts w:ascii="Times New Roman"/>
          <w:b w:val="false"/>
          <w:i w:val="false"/>
          <w:color w:val="000000"/>
          <w:sz w:val="28"/>
        </w:rPr>
        <w:t>
          13. Ни один контейнер не может быть допущен согласно процедуре 
допущения по типу конструкции, если компетентный орган не пришел к 
заключению на основании осмотра одного или нескольких построенных по этому 
типу контейнеров, что контейнеры этого типа отвечают техническим условиям, 
предусмотренным в Приложении 4.
</w:t>
      </w:r>
      <w:r>
        <w:br/>
      </w:r>
      <w:r>
        <w:rPr>
          <w:rFonts w:ascii="Times New Roman"/>
          <w:b w:val="false"/>
          <w:i w:val="false"/>
          <w:color w:val="000000"/>
          <w:sz w:val="28"/>
        </w:rPr>
        <w:t>
          14. После допущения какого-либо типа контейнера предприятию, 
сделавшему заявку, выдается в единственном экземпляре свидетельство о 
допущении, соответствующее образцу N II, приведенному в добавлении 2 к 
настоящему Приложению, и действительное для всех контейнеров, которые 
будут строиться в соответствии со спецификациями допущенного типа. Это 
свидетельство дает право заводу-изготовителю крепить к каждому серийному 
контейнеру данного типа табличку о допущении, предусмотренную в пункте 5 
настоящего Приложения.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Особые положения, касающиеся допущения на каком-либо этапе после      
</w:t>
      </w:r>
      <w:r>
        <w:br/>
      </w:r>
      <w:r>
        <w:rPr>
          <w:rFonts w:ascii="Times New Roman"/>
          <w:b w:val="false"/>
          <w:i w:val="false"/>
          <w:color w:val="000000"/>
          <w:sz w:val="28"/>
        </w:rPr>
        <w:t>
          изготовления 
</w:t>
      </w:r>
      <w:r>
        <w:br/>
      </w:r>
      <w:r>
        <w:rPr>
          <w:rFonts w:ascii="Times New Roman"/>
          <w:b w:val="false"/>
          <w:i w:val="false"/>
          <w:color w:val="000000"/>
          <w:sz w:val="28"/>
        </w:rPr>
        <w:t>
          15. Если не было сделано заявки о допущении на стадии производства, 
владелец, предприятие по эксплуатации контейнеров или представитель того 
или другого могут обратиться с просьбой о таком допущении к компетентному 
органу, которому они могут представить контейнер или контейнеры, допущение 
которых испрашивается.
</w:t>
      </w:r>
      <w:r>
        <w:br/>
      </w:r>
      <w:r>
        <w:rPr>
          <w:rFonts w:ascii="Times New Roman"/>
          <w:b w:val="false"/>
          <w:i w:val="false"/>
          <w:color w:val="000000"/>
          <w:sz w:val="28"/>
        </w:rPr>
        <w:t>
          16. Любая заявка о допущении в случае, предусмотренном в пункте 15 
настоящего Приложения, должна содержать порядковый номер (заводской 
номер), наносимый заводом-изготовителем на каждый контейнер.
</w:t>
      </w:r>
      <w:r>
        <w:br/>
      </w:r>
      <w:r>
        <w:rPr>
          <w:rFonts w:ascii="Times New Roman"/>
          <w:b w:val="false"/>
          <w:i w:val="false"/>
          <w:color w:val="000000"/>
          <w:sz w:val="28"/>
        </w:rPr>
        <w:t>
          17. Когда компетентный орган путем осмотра такого числа контейнеров, 
которое он считает необходимым, удостоверится в том, что этот контейнер 
или эти контейнеры отвечают техническим условиям, предусмотренным в 
Приложении 4, он выдает свидетельство о допущении, соответствующее образцу 
N III, приведенному в добавлении 3 к настоящему Приложению, и 
действительное лишь для того числа контейнеров, которое было допущено. Это 
</w:t>
      </w:r>
      <w:r>
        <w:rPr>
          <w:rFonts w:ascii="Times New Roman"/>
          <w:b w:val="false"/>
          <w:i w:val="false"/>
          <w:color w:val="000000"/>
          <w:sz w:val="28"/>
        </w:rPr>
        <w:t>
</w:t>
      </w:r>
    </w:p>
    <w:p>
      <w:pPr>
        <w:spacing w:after="0"/>
        <w:ind w:left="0"/>
        <w:jc w:val="left"/>
      </w:pPr>
      <w:r>
        <w:rPr>
          <w:rFonts w:ascii="Times New Roman"/>
          <w:b w:val="false"/>
          <w:i w:val="false"/>
          <w:color w:val="000000"/>
          <w:sz w:val="28"/>
        </w:rPr>
        <w:t>
свидетельство, в котором указаны порядковый номер или порядковые номера, 
присвоенные заводом-изготовителем контейнеру или контейнерам, к которым 
оно относится, дает право предприятию, сделавшему заявку, прикреплять на 
каждом допущенном контейнере табличку о допущении, предусмотренную в 
пункте 5 настоящего Приложения.
                      Добавление 1 к Приложению 5
                             Образец N 1
                        Табличка о допущении
                        (французский вариант)
                        (См. бумажный вариант)
                      Добавление 1 к Приложению 5
                             Образец N 1
                        Табличка о допущении
                        (английский вариант)
                        (См. бумажный вариант)
                      Добавление 2 к Приложению 5
                            Образец N II
            Таможенная конвенция, касающаяся контейнеров, 1972 г.
                Свидетельство о допущении по типу конструкции
     1. Номер свидетельства(*)...................................
     ___________________
     (*) Указать буквы и цифры, которые должны проставляться на табличке о 
     допущении (см. подпункт b) пункта 5 Приложения 5 к Таможенной         
     конвенции, касающейся контейнеров, 1972 г.).
     2. Удостоверяется, что описанный ниже тип контейнера допущен к 
перевозке и что контейнеры, изготовленные согласно этому типу, могут быть 
допущены к перевозке грузов под таможенными печатями и пломбами.
     3. Род контейнера ..........................................
     4. Опознавательные номера или буквы типа конструкции .................
     5. Опознавательный номер чертежей ..........................
     6. Опознавательный номер описаний конструкции ..............
     7. Вес тары ................................................
     8. Наружные размеры в см ..................................
     9. Основные характеристики конструкции (вид материалов, тип 
конструкции и т.д.) .....................................
     .....................................................................
     .....................................................................
     .....................................................................
     10. Настоящее свидетельство действительно для всех контейнеров, 
изготовленных в соответствии с указанными выше чертежами и описаниями 
конструкции.
     11. Выдано ..................................................
                  (название и адрес завода-изготовителя) 
которому разрешено прикреплять табличку о допущении на каждом 
изготовленном им контейнере допущенного типа.
        .......................           .....................19..
                 (место)                           (дата)
...........................................................................
(подпись и печать учреждения или организации, выдающего(ей) свидетельство)
                                       (См. предупреждение на обороте)
                              Внимание
           (Пункты 6 и 7 Приложения 5 к Таможенной конвенции, 
                  касающейся контейнеров, 1972 г.)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образом, чтобы вновь отвечать этим техническим требованиям.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
                        Добавление 3 к Приложению 5
                              Образец N III 
           Таможенная конвенция, касающаяся контейнеров, 1972 г.
               Свидетельство о допущении на каком-либо этапе
                            после изготовления
     1. Номер свидетельства (*) ...................................
     ________________________
     (*) Указать буквы и цифры, которые должны проставляться на табличке о 
     допущении (см. подпункт b) пункта 5 Приложения 5 к Таможенной         
     конвенции, касающейся контейнеров, 1972 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Удостоверяется, что указанный(ые) ниже контейнер(ы) допущен(ы) к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перевозке грузов под таможенными печатями и пломбами.
     3. Род контейнера(ов) .....................................
     4. Порядковый(ые) номер(а), присвоенный(ые) контейнеру(ам) 
заводом-изготовителем ..........................................
     5. Вес тары ................................................
     6. Наружные размеры в см .................................
     7. Основные характеристики конструкции (вид материалов, тип 
конструкции и т.д.) .....................................
     8. Выдано ..................................................
                (название и адрес предприятия, подавшего заявку) 
которому разрешено прикреплять табличку о допущении на указанном(ых) выше 
контейнере(ах).
             .......................         .....................19..
                     (место)                          (дата)
...........................................................................
(подпись и печать учреждения или организации, выдающего(ей) свидетельство)
                                        (См. предупреждение на обороте)
                              Внимание
           (Пункты 6 и 7 Приложения 5 к Таможенной конвенции, 
                   касающейся контейнеров, 1972 г.)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6
</w:t>
      </w:r>
      <w:r>
        <w:br/>
      </w:r>
      <w:r>
        <w:rPr>
          <w:rFonts w:ascii="Times New Roman"/>
          <w:b w:val="false"/>
          <w:i w:val="false"/>
          <w:color w:val="000000"/>
          <w:sz w:val="28"/>
        </w:rPr>
        <w:t>
                                                    Пояснительные записки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Введение
</w:t>
      </w:r>
      <w:r>
        <w:br/>
      </w:r>
      <w:r>
        <w:rPr>
          <w:rFonts w:ascii="Times New Roman"/>
          <w:b w:val="false"/>
          <w:i w:val="false"/>
          <w:color w:val="000000"/>
          <w:sz w:val="28"/>
        </w:rPr>
        <w:t>
          i) В соответствии с положениями статьи 13 настоящей Конвенции 
пояснительные записки содержат пояснения некоторых положений настоящей 
Конвенции и Приложений к ней.
</w:t>
      </w:r>
      <w:r>
        <w:br/>
      </w:r>
      <w:r>
        <w:rPr>
          <w:rFonts w:ascii="Times New Roman"/>
          <w:b w:val="false"/>
          <w:i w:val="false"/>
          <w:color w:val="000000"/>
          <w:sz w:val="28"/>
        </w:rPr>
        <w:t>
          ii) Пояснительные записки не изменяют положений настоящей Конвенции 
или Приложений к ней, а лишь уточняют их содержание, смысл и сферу 
применения.
</w:t>
      </w:r>
      <w:r>
        <w:br/>
      </w:r>
      <w:r>
        <w:rPr>
          <w:rFonts w:ascii="Times New Roman"/>
          <w:b w:val="false"/>
          <w:i w:val="false"/>
          <w:color w:val="000000"/>
          <w:sz w:val="28"/>
        </w:rPr>
        <w:t>
          iii) В частности, в связи с принципами, устанавливаемыми положениями 
статьи 12 настоящей Конвенции и Приложения 4 к ней в отношении допущения 
контейнеров к перевозкам под таможенными печатями и пломбами, в 
пояснительных записках содержатся в соответствующих случаях указания о 
конструктивных особенностях, которые должны рассматриваться 
Договаривающимися Сторонами как отвечающие этим положениям. В 
пояснительных записках может также указываться, в случае необходимости, 
какие конструктивные особенности не отвечают этим положениям.
</w:t>
      </w:r>
      <w:r>
        <w:br/>
      </w:r>
      <w:r>
        <w:rPr>
          <w:rFonts w:ascii="Times New Roman"/>
          <w:b w:val="false"/>
          <w:i w:val="false"/>
          <w:color w:val="000000"/>
          <w:sz w:val="28"/>
        </w:rPr>
        <w:t>
          iv) Пояснительные записки обеспечивают возможность приведения в 
соответствие положений настоящей Конвенции и Приложений к ней с уровнем 
технического развития и экономическими требованиями.
</w:t>
      </w:r>
      <w:r>
        <w:br/>
      </w:r>
      <w:r>
        <w:rPr>
          <w:rFonts w:ascii="Times New Roman"/>
          <w:b w:val="false"/>
          <w:i w:val="false"/>
          <w:color w:val="000000"/>
          <w:sz w:val="28"/>
        </w:rPr>
        <w:t>
          0. Основной текст Конвенции
</w:t>
      </w:r>
      <w:r>
        <w:br/>
      </w:r>
      <w:r>
        <w:rPr>
          <w:rFonts w:ascii="Times New Roman"/>
          <w:b w:val="false"/>
          <w:i w:val="false"/>
          <w:color w:val="000000"/>
          <w:sz w:val="28"/>
        </w:rPr>
        <w:t>
          0.1 Статья 1
</w:t>
      </w:r>
      <w:r>
        <w:br/>
      </w:r>
      <w:r>
        <w:rPr>
          <w:rFonts w:ascii="Times New Roman"/>
          <w:b w:val="false"/>
          <w:i w:val="false"/>
          <w:color w:val="000000"/>
          <w:sz w:val="28"/>
        </w:rPr>
        <w:t>
          Подпункт с) i) - Частично закрытые контейнеры
</w:t>
      </w:r>
      <w:r>
        <w:br/>
      </w:r>
      <w:r>
        <w:rPr>
          <w:rFonts w:ascii="Times New Roman"/>
          <w:b w:val="false"/>
          <w:i w:val="false"/>
          <w:color w:val="000000"/>
          <w:sz w:val="28"/>
        </w:rPr>
        <w:t>
          0.1. с) i)-1 Термин "частично закрытый" применительно к оборудованию, 
упомянутому в подпункте с) i) статьи 1, относится к оборудованию, 
состоящему обычно из пола и верхней конструкции, образующей погрузочное 
пространство, эквивалентное погрузочному пространству закрытого 
контейнера. Верхняя конструкция обычно состоит из металлических элементов, 
образующих каркас контейнера. Контейнеры такого типа могут включать также 
одну или несколько боковых или торцовых стенок. В некоторых случаях 
имеется только крыша, прикрепленная к полу стойками. Этот тип контейнера 
используется, в частности, для перевозки громоздких грузов (например, 
легковых автомобилей).
</w:t>
      </w:r>
      <w:r>
        <w:br/>
      </w:r>
      <w:r>
        <w:rPr>
          <w:rFonts w:ascii="Times New Roman"/>
          <w:b w:val="false"/>
          <w:i w:val="false"/>
          <w:color w:val="000000"/>
          <w:sz w:val="28"/>
        </w:rPr>
        <w:t>
          Подпункт с) - Принадлежности и оборудование контейнера.
</w:t>
      </w:r>
      <w:r>
        <w:br/>
      </w:r>
      <w:r>
        <w:rPr>
          <w:rFonts w:ascii="Times New Roman"/>
          <w:b w:val="false"/>
          <w:i w:val="false"/>
          <w:color w:val="000000"/>
          <w:sz w:val="28"/>
        </w:rPr>
        <w:t>
          0.1. c)-1 Термин "принадлежности и оборудование контейнера" включает, 
в частности, следующие устройства даже в том случае, если они являются 
съемными:
</w:t>
      </w:r>
      <w:r>
        <w:br/>
      </w:r>
      <w:r>
        <w:rPr>
          <w:rFonts w:ascii="Times New Roman"/>
          <w:b w:val="false"/>
          <w:i w:val="false"/>
          <w:color w:val="000000"/>
          <w:sz w:val="28"/>
        </w:rPr>
        <w:t>
          a) оборудование, предназначенное для контролирования, изменения или 
поддержания температуры внутри контейнера;
</w:t>
      </w:r>
      <w:r>
        <w:br/>
      </w:r>
      <w:r>
        <w:rPr>
          <w:rFonts w:ascii="Times New Roman"/>
          <w:b w:val="false"/>
          <w:i w:val="false"/>
          <w:color w:val="000000"/>
          <w:sz w:val="28"/>
        </w:rPr>
        <w:t>
          b) небольшие приборы, например приборы для записи температуры или 
ударных воздействий, предназначенные для показания или регистрации 
изменения окружающих условий и ударных воздействий;
</w:t>
      </w:r>
      <w:r>
        <w:br/>
      </w:r>
      <w:r>
        <w:rPr>
          <w:rFonts w:ascii="Times New Roman"/>
          <w:b w:val="false"/>
          <w:i w:val="false"/>
          <w:color w:val="000000"/>
          <w:sz w:val="28"/>
        </w:rPr>
        <w:t>
          c) внутренние перегородки, поддоны, полки, опоры, крючки и 
аналогичные устройства, служащие для размещения и крепления груза.
</w:t>
      </w:r>
      <w:r>
        <w:br/>
      </w:r>
      <w:r>
        <w:rPr>
          <w:rFonts w:ascii="Times New Roman"/>
          <w:b w:val="false"/>
          <w:i w:val="false"/>
          <w:color w:val="000000"/>
          <w:sz w:val="28"/>
        </w:rPr>
        <w:t>
          4. Приложение 4 
</w:t>
      </w:r>
      <w:r>
        <w:br/>
      </w:r>
      <w:r>
        <w:rPr>
          <w:rFonts w:ascii="Times New Roman"/>
          <w:b w:val="false"/>
          <w:i w:val="false"/>
          <w:color w:val="000000"/>
          <w:sz w:val="28"/>
        </w:rPr>
        <w:t>
          4.2 Статья 2
</w:t>
      </w:r>
      <w:r>
        <w:br/>
      </w:r>
      <w:r>
        <w:rPr>
          <w:rFonts w:ascii="Times New Roman"/>
          <w:b w:val="false"/>
          <w:i w:val="false"/>
          <w:color w:val="000000"/>
          <w:sz w:val="28"/>
        </w:rPr>
        <w:t>
          Подпункт 1 а) - Сборка составных элементов
</w:t>
      </w:r>
      <w:r>
        <w:br/>
      </w:r>
      <w:r>
        <w:rPr>
          <w:rFonts w:ascii="Times New Roman"/>
          <w:b w:val="false"/>
          <w:i w:val="false"/>
          <w:color w:val="000000"/>
          <w:sz w:val="28"/>
        </w:rPr>
        <w:t>
          4.2.1. a)-1 a) В случае применения крепежных деталей (заклепок, 
шурупов, болтов, гаек и т.д.) достаточное число таких деталей должно 
вставляться с наружной стороны, проходить через скрепляемые элементы, 
выступать внутри и там жестко закрепляться (например, при помощи заклепок, 
сварки, втулок, болтов и заклепывания(1) и приварки гаек). 
________________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br/>
      </w:r>
      <w:r>
        <w:rPr>
          <w:rFonts w:ascii="Times New Roman"/>
          <w:b w:val="false"/>
          <w:i w:val="false"/>
          <w:color w:val="000000"/>
          <w:sz w:val="28"/>
        </w:rPr>
        <w:t>
Однако обычные заклепки (т.е. заклепки, постановка которых осуществляется 
с обеих сторон собираемого узла) могут вставляться также с внутренней 
стороны. Независимо от вышесказанного пол грузового отделения может 
прикрепляться с помощью самонарезающих шурупов или самосверлящих заклепок, 
или заклепок, ставящихся с помощью заряда взрывчатого вещества, или 
шпилек, вставляемых с помощью сжатого воздуха(1), устанавливаемых изнутри 
и проходящих вертикально через пол и нижние металлические поперечины, при 
условии (за исключением случаев самонарезающих шурупов), что некоторые их 
концы будут заподлицо с наружной поверхностью поперечины или будут 
приварены к ней.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Компетентный орган определяет, какие крепежные детали и в каком 
количестве должны соответствовать требованиям подпункта а) настоящей 
записки; он должен удостовериться в том, что составные элементы собраны 
таким образом, что их нельзя переместить без оставления видимых следов. 
Выбор и размещение любых других крепежных деталей не подлежат никаким 
ограничениям.
</w:t>
      </w:r>
      <w:r>
        <w:br/>
      </w:r>
      <w:r>
        <w:rPr>
          <w:rFonts w:ascii="Times New Roman"/>
          <w:b w:val="false"/>
          <w:i w:val="false"/>
          <w:color w:val="000000"/>
          <w:sz w:val="28"/>
        </w:rPr>
        <w:t>
          c) Применение крепежных деталей, которые могут быть удалены или 
заменены с одной стороны без оставления видимых следов, т.е. деталей, 
постановка которых производится только с одной стороны собираемого узла, 
по условиям пункта а) настоящей записки не допускается. Примером таких 
деталей являются распорные заклепки, глухие заклепки и т.д.
</w:t>
      </w:r>
      <w:r>
        <w:br/>
      </w:r>
      <w:r>
        <w:rPr>
          <w:rFonts w:ascii="Times New Roman"/>
          <w:b w:val="false"/>
          <w:i w:val="false"/>
          <w:color w:val="000000"/>
          <w:sz w:val="28"/>
        </w:rPr>
        <w:t>
          d) Выше описанные методы сборки распространяются на специальные 
контейнеры, например на изотермические контейнеры, контейнеры-
рефрижераторы и контейнеры-цистерны постольку, поскольку они не 
противоречат техническим требованиям, которым должны удовлетворять такие 
контейнеры в соответствии со своим назначением. В тех случаях, когда по 
техническим причинам невозможно скреплять составные элементы методами, 
описанными в подпункте а) настоящей записки, составные элементы могут 
соединяться при помощи деталей, описанных в подпункте с) настоящей 
записки, при условии, что к крепежным деталям, используемым с внутренней 
стороны стенки, не будет доступа с наружной стороны.
</w:t>
      </w:r>
      <w:r>
        <w:br/>
      </w:r>
      <w:r>
        <w:rPr>
          <w:rFonts w:ascii="Times New Roman"/>
          <w:b w:val="false"/>
          <w:i w:val="false"/>
          <w:color w:val="000000"/>
          <w:sz w:val="28"/>
        </w:rPr>
        <w:t>
          Подпункт 1 b) - Двери и прочие системы закрывания
</w:t>
      </w:r>
      <w:r>
        <w:br/>
      </w:r>
      <w:r>
        <w:rPr>
          <w:rFonts w:ascii="Times New Roman"/>
          <w:b w:val="false"/>
          <w:i w:val="false"/>
          <w:color w:val="000000"/>
          <w:sz w:val="28"/>
        </w:rPr>
        <w:t>
          4.2.1. b)-1 а) Приспособление, на котором могут быть поставлены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таможенные печати и пломбы, должно:
     i) прикрепляться при помощи сварки или по крайней мере двух крепежных 
деталей, удовлетворяющих требованиям подпункта а) пояснительной записки 
4.2.1.а); или
     ii) иметь такую конструкцию, чтобы после закрытия и опечатания 
контейнера нельзя было бы снять эти приспособления без оставления видимых 
следов.
     Оно должно также:
     iii) иметь отверстия не менее 11 мм или прорези длиной не менее 11 мм 
при ширине 3 мм; и
     iv) представлять одинаковую надежность при любом способе и типе 
опечатания.(1)
________________
</w:t>
      </w:r>
    </w:p>
    <w:p>
      <w:pPr>
        <w:spacing w:after="0"/>
        <w:ind w:left="0"/>
        <w:jc w:val="left"/>
      </w:pPr>
      <w:r>
        <w:rPr>
          <w:rFonts w:ascii="Times New Roman"/>
          <w:b w:val="false"/>
          <w:i w:val="false"/>
          <w:color w:val="000000"/>
          <w:sz w:val="28"/>
        </w:rPr>
        <w:t>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Петли, навески, шарниры и другие детали для навешивания дверей и
т.п. должны прикрепляться в соответствии с требованиями подпунктов а), i) 
и ii)(1) настоящей записки. Кроме того, различные составные части такого 
устройства (например, петли, шкворни или шарниры) должны прикрепляться 
таким образом, чтобы при закрытом и опечатанном контейнере их нельзя было 
снять или переместить без оставления видимых следов. Однако в тех случаях, 
когда к такому устройству нет доступа с наружной стороны, достаточно 
обеспечить невозможность отсоединения закрытой и опечатанной двери от 
данного устройства без оставления видимых следов. В том случае если дверь 
или система закрывания имеет более двух петель, только две ближайшие к 
оконечностям двери петли должны крепиться в соответствии с требованиями 
вышеприведенных подпунктов a) i) и ii).(1)
________________
(1)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В порядке исключения, только в случае изотермических контейнеров, 
устройство для наложения таможенных печатей и пломб, петли и другие 
детали, снятие которых обеспечило бы доступ внутрь контейнера или в другие 
места, пригодные для сокрытия грузов, могут быть установлены на дверях 
таких контейнеров с помощью ввертных болтов или винтов, которые 
вставляются снаружи, но которые в других отношениях не удовлетворяют 
требованиям подпункта а) пояснительной записки к Приложению 4, статья 2,
пункт 1 а), при условии, что:
</w:t>
      </w:r>
      <w:r>
        <w:br/>
      </w:r>
      <w:r>
        <w:rPr>
          <w:rFonts w:ascii="Times New Roman"/>
          <w:b w:val="false"/>
          <w:i w:val="false"/>
          <w:color w:val="000000"/>
          <w:sz w:val="28"/>
        </w:rPr>
        <w:t>
          i) стержни ввертных болтов или винтов крепятся к листу с резьбовыми 
отверстиями или подобному приспособлению, расположенному внутри по 
отношению к внешнему слою или слоям конструкции двери; и 
</w:t>
      </w:r>
      <w:r>
        <w:br/>
      </w:r>
      <w:r>
        <w:rPr>
          <w:rFonts w:ascii="Times New Roman"/>
          <w:b w:val="false"/>
          <w:i w:val="false"/>
          <w:color w:val="000000"/>
          <w:sz w:val="28"/>
        </w:rPr>
        <w:t>
          ii) головки соответствующего количества ввертных болтов или винтов 
привариваются к устройству для наложения таможенных печатей и пломб, к 
петлям и т.д. таким образом, что они полностью деформируются и что 
ввертные болты или винты невозможно демонтировать без оставления видимых 
следов (см. рис. N 4, приложенный к настоящему приложению).
</w:t>
      </w:r>
      <w:r>
        <w:br/>
      </w:r>
      <w:r>
        <w:rPr>
          <w:rFonts w:ascii="Times New Roman"/>
          <w:b w:val="false"/>
          <w:i w:val="false"/>
          <w:color w:val="000000"/>
          <w:sz w:val="28"/>
        </w:rPr>
        <w:t>
          Под "термоизолированным контейнером" подразумевается как 
контейнер-рефрижератор, так и изотермический контейнер.(1)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Контейнеры с большим числом таких закрывающих устройств, как 
клапаны, стопорные краны, крышки люков, фланцы и т.п., должны иметь такую 
конструкцию, чтобы число таможенных печатей и пломб могло быть по 
возможности ограничено. С этой целью соседние закрывающие устройства 
должны быть связаны при помощи общего приспособления, требующего 
постановки только одной таможенной печати или пломбы, или должны быть 
снабжены крышкой, отвечающей тем же требованиям.
</w:t>
      </w:r>
      <w:r>
        <w:br/>
      </w:r>
      <w:r>
        <w:rPr>
          <w:rFonts w:ascii="Times New Roman"/>
          <w:b w:val="false"/>
          <w:i w:val="false"/>
          <w:color w:val="000000"/>
          <w:sz w:val="28"/>
        </w:rPr>
        <w:t>
          e) Контейнеры с открывающейся крышей должны быть сконструированы 
таким образом, чтобы можно было опечатывать их при помощи минимального 
числа таможенных печатей и пломб.
</w:t>
      </w:r>
      <w:r>
        <w:br/>
      </w:r>
      <w:r>
        <w:rPr>
          <w:rFonts w:ascii="Times New Roman"/>
          <w:b w:val="false"/>
          <w:i w:val="false"/>
          <w:color w:val="000000"/>
          <w:sz w:val="28"/>
        </w:rPr>
        <w:t>
          Подпункт 1 с) - Вентиляционные отверстия
</w:t>
      </w:r>
      <w:r>
        <w:br/>
      </w:r>
      <w:r>
        <w:rPr>
          <w:rFonts w:ascii="Times New Roman"/>
          <w:b w:val="false"/>
          <w:i w:val="false"/>
          <w:color w:val="000000"/>
          <w:sz w:val="28"/>
        </w:rPr>
        <w:t>
          4.2.1. с)-1 а) Максимальный их размер в принципе не должен превышать 
400 мм.
</w:t>
      </w:r>
      <w:r>
        <w:br/>
      </w:r>
      <w:r>
        <w:rPr>
          <w:rFonts w:ascii="Times New Roman"/>
          <w:b w:val="false"/>
          <w:i w:val="false"/>
          <w:color w:val="000000"/>
          <w:sz w:val="28"/>
        </w:rPr>
        <w:t>
          b) Отверстия, дающие непосредственный доступ к грузу, должны быть 
заслонены проволочной сеткой или перфорированным металлическим экраном (с 
максимальным размером отверстий в обоих случаях 3 мм) и защищены сварной 
металлической решеткой (с максимальным размером отверстий 10 мм).
</w:t>
      </w:r>
      <w:r>
        <w:br/>
      </w:r>
      <w:r>
        <w:rPr>
          <w:rFonts w:ascii="Times New Roman"/>
          <w:b w:val="false"/>
          <w:i w:val="false"/>
          <w:color w:val="000000"/>
          <w:sz w:val="28"/>
        </w:rPr>
        <w:t>
          c) Отверстия, не дающие прямого доступа к грузу (например, благодаря 
наличию системы колен или дефлекторов), должны оборудоваться такими же 
устройствами, но размеры отверстий могут достигать соответственно 10 и 20 
мм.
</w:t>
      </w:r>
      <w:r>
        <w:br/>
      </w:r>
      <w:r>
        <w:rPr>
          <w:rFonts w:ascii="Times New Roman"/>
          <w:b w:val="false"/>
          <w:i w:val="false"/>
          <w:color w:val="000000"/>
          <w:sz w:val="28"/>
        </w:rPr>
        <w:t>
          d) В тех случаях, когда отверстия устраиваются в брезенте, в 
принципе должно предусматриваться наличие устройств, упомянутых в 
подпункте b) настоящей записки. Однако допускается постановка закрывающих 
устройств в виде перфорированного металлического крана, помещаемого 
снаружи, и проволочной или иной сетки, помещаемой с внутренней стороны.
</w:t>
      </w:r>
      <w:r>
        <w:br/>
      </w:r>
      <w:r>
        <w:rPr>
          <w:rFonts w:ascii="Times New Roman"/>
          <w:b w:val="false"/>
          <w:i w:val="false"/>
          <w:color w:val="000000"/>
          <w:sz w:val="28"/>
        </w:rPr>
        <w:t>
          e) Идентичные неметаллические приспособления могут допускаться при 
условии, что отверстия имеют требуемые размеры, и что используемый 
материал обладает достаточной прочностью, чтобы предотвратить возможность 
значительного увеличения этих отверстий без оставления видимых следов. 
Кроме того, вентиляционные приспособления должны быть сконструированы 
таким образом, чтобы их нельзя было снять, действуя лишь с одной стороны 
брезента.(1)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f) Вентиляционное отверстие может быть снабжено защитным 
приспособлением; оно может быть прикреплено к брезенту таким образом, 
чтобы допустить таможенный контроль этого отверстия. Защитное 
приспособление должно быть прикреплено к брезенту на расстоянии по меньшей 
мере 5 см от экрана вентиляционного отверстия.(2)
________________     
(2)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Подпункт 1 с) - Дренажные отверстия       
</w:t>
      </w:r>
      <w:r>
        <w:br/>
      </w:r>
      <w:r>
        <w:rPr>
          <w:rFonts w:ascii="Times New Roman"/>
          <w:b w:val="false"/>
          <w:i w:val="false"/>
          <w:color w:val="000000"/>
          <w:sz w:val="28"/>
        </w:rPr>
        <w:t>
          4.2.1. с)-2 а) Максимальный их размер в принципе не должен превышать 
35 мм.
</w:t>
      </w:r>
      <w:r>
        <w:br/>
      </w:r>
      <w:r>
        <w:rPr>
          <w:rFonts w:ascii="Times New Roman"/>
          <w:b w:val="false"/>
          <w:i w:val="false"/>
          <w:color w:val="000000"/>
          <w:sz w:val="28"/>
        </w:rPr>
        <w:t>
          b) Отверстия, дающие непосредственный доступ к грузу, должны 
оборудоваться устройствами, предписанными в подпункте  ) пояснительной 
записки 4.2.1.с)-1 для вентиляционных отверстий.
</w:t>
      </w:r>
      <w:r>
        <w:br/>
      </w:r>
      <w:r>
        <w:rPr>
          <w:rFonts w:ascii="Times New Roman"/>
          <w:b w:val="false"/>
          <w:i w:val="false"/>
          <w:color w:val="000000"/>
          <w:sz w:val="28"/>
        </w:rPr>
        <w:t>
          c) В тех случаях, когда дренажные отверстия не дают прямого доступа к 
грузу, указанные в подпункте b) настоящей записки устройства не требуются 
при условии, что отверстия оборудованы надежной системой дефлекторов, 
легко доступной с внутренней стороны контейнера.
</w:t>
      </w:r>
      <w:r>
        <w:br/>
      </w:r>
      <w:r>
        <w:rPr>
          <w:rFonts w:ascii="Times New Roman"/>
          <w:b w:val="false"/>
          <w:i w:val="false"/>
          <w:color w:val="000000"/>
          <w:sz w:val="28"/>
        </w:rPr>
        <w:t>
          4.4. Статья 4
</w:t>
      </w:r>
      <w:r>
        <w:br/>
      </w:r>
      <w:r>
        <w:rPr>
          <w:rFonts w:ascii="Times New Roman"/>
          <w:b w:val="false"/>
          <w:i w:val="false"/>
          <w:color w:val="000000"/>
          <w:sz w:val="28"/>
        </w:rPr>
        <w:t>
          Пункт 3 - Брезент, составленный из нескольких кусков
</w:t>
      </w:r>
      <w:r>
        <w:br/>
      </w:r>
      <w:r>
        <w:rPr>
          <w:rFonts w:ascii="Times New Roman"/>
          <w:b w:val="false"/>
          <w:i w:val="false"/>
          <w:color w:val="000000"/>
          <w:sz w:val="28"/>
        </w:rPr>
        <w:t>
          4.4.3.-1 а) Отдельные куски, составляющие один брезент, могут быть 
выполнены из различных материалов, удовлетворяющих положениям пункта 2 
статьи 4 Приложения 4.
</w:t>
      </w:r>
      <w:r>
        <w:br/>
      </w:r>
      <w:r>
        <w:rPr>
          <w:rFonts w:ascii="Times New Roman"/>
          <w:b w:val="false"/>
          <w:i w:val="false"/>
          <w:color w:val="000000"/>
          <w:sz w:val="28"/>
        </w:rPr>
        <w:t>
          b) При изготовлении брезента допускается любое расположение кусков, в 
достаточной степени обеспечивающее безопасность, при условии, что куски 
соединяются в соответствии с требованиями статьи 4 Приложения 4.
</w:t>
      </w:r>
      <w:r>
        <w:br/>
      </w:r>
      <w:r>
        <w:rPr>
          <w:rFonts w:ascii="Times New Roman"/>
          <w:b w:val="false"/>
          <w:i w:val="false"/>
          <w:color w:val="000000"/>
          <w:sz w:val="28"/>
        </w:rPr>
        <w:t>
          Подпункт 6 а)
</w:t>
      </w:r>
      <w:r>
        <w:br/>
      </w:r>
      <w:r>
        <w:rPr>
          <w:rFonts w:ascii="Times New Roman"/>
          <w:b w:val="false"/>
          <w:i w:val="false"/>
          <w:color w:val="000000"/>
          <w:sz w:val="28"/>
        </w:rPr>
        <w:t>
          4.4.6.а)-1 Примеры приемлемых с точки зрения таможенных требований 
систем конструкций для крепления брезента к контейнеру и крепления 
брезента к угловым элементам контейнера показаны на рисунках N 1, N 2 и 
N 3, приведенных в настоящем Приложении.
</w:t>
      </w:r>
      <w:r>
        <w:br/>
      </w:r>
      <w:r>
        <w:rPr>
          <w:rFonts w:ascii="Times New Roman"/>
          <w:b w:val="false"/>
          <w:i w:val="false"/>
          <w:color w:val="000000"/>
          <w:sz w:val="28"/>
        </w:rPr>
        <w:t>
          Подпункт 6 а)-1 - Крытые брезентом контейнеры со скользящими кольцами
</w:t>
      </w:r>
      <w:r>
        <w:br/>
      </w:r>
      <w:r>
        <w:rPr>
          <w:rFonts w:ascii="Times New Roman"/>
          <w:b w:val="false"/>
          <w:i w:val="false"/>
          <w:color w:val="000000"/>
          <w:sz w:val="28"/>
        </w:rPr>
        <w:t>
          4.4.6.а)-2 Металлические кольца для крепления брезента, скользящие по 
металлическим штангам, укрепленным на контейнерах, допустимы в целях 
настоящего пункта (см. рисунок N 5 настоящего Приложения) при условии, что:
</w:t>
      </w:r>
      <w:r>
        <w:br/>
      </w:r>
      <w:r>
        <w:rPr>
          <w:rFonts w:ascii="Times New Roman"/>
          <w:b w:val="false"/>
          <w:i w:val="false"/>
          <w:color w:val="000000"/>
          <w:sz w:val="28"/>
        </w:rPr>
        <w:t>
          a) штанги крепятся к контейнеру через промежутки максимум 60 см и 
таким образом, чтобы их нельзя было снять и вновь поставить на место без 
оставления видимых следов;
</w:t>
      </w:r>
      <w:r>
        <w:br/>
      </w:r>
      <w:r>
        <w:rPr>
          <w:rFonts w:ascii="Times New Roman"/>
          <w:b w:val="false"/>
          <w:i w:val="false"/>
          <w:color w:val="000000"/>
          <w:sz w:val="28"/>
        </w:rPr>
        <w:t>
          b) кольца будут двойными или будут иметь центральный стержень и 
изготовлены цельными без применения сварки;
</w:t>
      </w:r>
      <w:r>
        <w:br/>
      </w:r>
      <w:r>
        <w:rPr>
          <w:rFonts w:ascii="Times New Roman"/>
          <w:b w:val="false"/>
          <w:i w:val="false"/>
          <w:color w:val="000000"/>
          <w:sz w:val="28"/>
        </w:rPr>
        <w:t>
          c) брезент крепится к контейнеру в строгом соответствии с 
требованиями, приведенными в Приложении 4, Статья 1 а) настоящей 
Конвенции.(1)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Подпункт 6 а) i) - Крытые брезентом контейнеры с поворотными кольцами
</w:t>
      </w:r>
      <w:r>
        <w:br/>
      </w:r>
      <w:r>
        <w:rPr>
          <w:rFonts w:ascii="Times New Roman"/>
          <w:b w:val="false"/>
          <w:i w:val="false"/>
          <w:color w:val="000000"/>
          <w:sz w:val="28"/>
        </w:rPr>
        <w:t>
          4.4.6.а)-3 Металлические поворотные кольца, каждое из которых 
вращается в металлической скобе, прикрепленной к контейнеру, являются 
приемлемыми для целей данного пункта (см. рисунок N 6, сопровождающий 
настоящее Приложение) при условии, что:
</w:t>
      </w:r>
      <w:r>
        <w:br/>
      </w:r>
      <w:r>
        <w:rPr>
          <w:rFonts w:ascii="Times New Roman"/>
          <w:b w:val="false"/>
          <w:i w:val="false"/>
          <w:color w:val="000000"/>
          <w:sz w:val="28"/>
        </w:rPr>
        <w:t>
          а) каждая скоба прикреплена к контейнеру таким образом, что ее 
невозможно снять и снова прикрепить без оставления видимых следов; и
</w:t>
      </w:r>
      <w:r>
        <w:br/>
      </w:r>
      <w:r>
        <w:rPr>
          <w:rFonts w:ascii="Times New Roman"/>
          <w:b w:val="false"/>
          <w:i w:val="false"/>
          <w:color w:val="000000"/>
          <w:sz w:val="28"/>
        </w:rPr>
        <w:t>
          b) пружина под каждой скобой должна быть полностью покрыта 
металлической крышкой колоколообразной формы.(2)
________________     
(2)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Подпункт 6 b) - Глухое крепление брезента
</w:t>
      </w:r>
      <w:r>
        <w:br/>
      </w:r>
      <w:r>
        <w:rPr>
          <w:rFonts w:ascii="Times New Roman"/>
          <w:b w:val="false"/>
          <w:i w:val="false"/>
          <w:color w:val="000000"/>
          <w:sz w:val="28"/>
        </w:rPr>
        <w:t>
          4.4.6.b)-1 В тех случаях, когда один или несколько краев брезента 
наглухо крепятся к кузову контейнера, брезент должен удерживаться с 
помощью одной или нескольких лент из металла или другого подходящего 
материала, прикрепляемых к кузову контейнера крепежными деталями, 
удовлетворяющими требованиям подпункта а) записки 4.2.1. а)-1 настоящего 
Приложения.(1)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Пункт 7 - Расстояние между кольцами и между проушинами   
</w:t>
      </w:r>
      <w:r>
        <w:br/>
      </w:r>
      <w:r>
        <w:rPr>
          <w:rFonts w:ascii="Times New Roman"/>
          <w:b w:val="false"/>
          <w:i w:val="false"/>
          <w:color w:val="000000"/>
          <w:sz w:val="28"/>
        </w:rPr>
        <w:t>
          4.4.7.-1 Над стойками допускается расстояние более 200 мм, но не 
более 300 мм, если кольца утоплены в бортах и проушины имеют овальную 
форму и настолько малы, что могут надеваться на кольца без зазора.(1)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Пункт 8 - Крепежные тросы с текстильным сердечником    
</w:t>
      </w:r>
      <w:r>
        <w:br/>
      </w:r>
      <w:r>
        <w:rPr>
          <w:rFonts w:ascii="Times New Roman"/>
          <w:b w:val="false"/>
          <w:i w:val="false"/>
          <w:color w:val="000000"/>
          <w:sz w:val="28"/>
        </w:rPr>
        <w:t>
          4.4.8.-1 По положениям данного пункта допускается применение тросов,  
имеющих текстильный сердечник, обвитый по меньшей мере четырьмя 
стренгами(2) из стальной проволки, полностью покрывающими сердечник, при 
условии, что диаметр тросов (без учета прозрачного пластмассового 
покрытия, если таковое имеется) будет не менее 3 мм. 
________________     
(2)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Подпункт 10 а) - Откидные натяжные полы брезента
</w:t>
      </w:r>
      <w:r>
        <w:br/>
      </w:r>
      <w:r>
        <w:rPr>
          <w:rFonts w:ascii="Times New Roman"/>
          <w:b w:val="false"/>
          <w:i w:val="false"/>
          <w:color w:val="000000"/>
          <w:sz w:val="28"/>
        </w:rPr>
        <w:t>
          4.4.10.а)-1 На многих контейнерах брезент снабжен снаружи 
горизонтальной откидной полой с проушинами, проходящей вдоль боковой 
стороны контейнера. Такие откидные полы, так называемые натяжные полы, 
используются для натяжения брезента с помощью тросов или подобных 
устройств. Эти полы использовались для прикрытия устраиваемых в брезенте 
горизонтальных разрезов, позволявших доступ к грузам, перевозимым в 
контейнере. Поэтому рекомендуется не допускать использование откидных пол 
этого типа. Вместо них могут использоваться, в частности, следующие 
устройства:
</w:t>
      </w:r>
      <w:r>
        <w:br/>
      </w:r>
      <w:r>
        <w:rPr>
          <w:rFonts w:ascii="Times New Roman"/>
          <w:b w:val="false"/>
          <w:i w:val="false"/>
          <w:color w:val="000000"/>
          <w:sz w:val="28"/>
        </w:rPr>
        <w:t>
          а) натяжные откидные полы аналогичной конструкции, прикрепляемые с 
внутренней стороны брезента; или
</w:t>
      </w:r>
      <w:r>
        <w:br/>
      </w:r>
      <w:r>
        <w:rPr>
          <w:rFonts w:ascii="Times New Roman"/>
          <w:b w:val="false"/>
          <w:i w:val="false"/>
          <w:color w:val="000000"/>
          <w:sz w:val="28"/>
        </w:rPr>
        <w:t>
          b) небольшие отдельные откидные полы, каждая с одной проушиной, 
прикрепляемые снаружи брезента и расположенные на таком расстоянии друг от 
друга, при котором обеспечивается соответствующее натяжение брезента.
</w:t>
      </w:r>
      <w:r>
        <w:br/>
      </w:r>
      <w:r>
        <w:rPr>
          <w:rFonts w:ascii="Times New Roman"/>
          <w:b w:val="false"/>
          <w:i w:val="false"/>
          <w:color w:val="000000"/>
          <w:sz w:val="28"/>
        </w:rPr>
        <w:t>
          В качестве альтернативы в некоторых случаях можно отказаться от 
использования на брезенте натяжных пол.(1)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Подпункт 10 с) - Ремни     
</w:t>
      </w:r>
      <w:r>
        <w:br/>
      </w:r>
      <w:r>
        <w:rPr>
          <w:rFonts w:ascii="Times New Roman"/>
          <w:b w:val="false"/>
          <w:i w:val="false"/>
          <w:color w:val="000000"/>
          <w:sz w:val="28"/>
        </w:rPr>
        <w:t>
          4.4.10.с)-1 Для изготовления ремней могут применяться следующие      
материалы:
</w:t>
      </w:r>
      <w:r>
        <w:br/>
      </w:r>
      <w:r>
        <w:rPr>
          <w:rFonts w:ascii="Times New Roman"/>
          <w:b w:val="false"/>
          <w:i w:val="false"/>
          <w:color w:val="000000"/>
          <w:sz w:val="28"/>
        </w:rPr>
        <w:t>
          a) кожа; 
</w:t>
      </w:r>
      <w:r>
        <w:br/>
      </w:r>
      <w:r>
        <w:rPr>
          <w:rFonts w:ascii="Times New Roman"/>
          <w:b w:val="false"/>
          <w:i w:val="false"/>
          <w:color w:val="000000"/>
          <w:sz w:val="28"/>
        </w:rPr>
        <w:t>
          b) нерастяжимые(1) текстильные материалы, включая покрытые 
пластмассой или прорезиненные ткани, при условии, что такие материалы 
после разрыва невозможно сварить или восстановить без оставления видимых 
следов. Кроме того, пластический материал, используемый для покрытия 
ремней, должен быть прозрачным, а его поверхность должна быть гладкой.(1)
________________
(1) Снабжен поправкой на Первом совещании Административного комитета 
Таможенной конвенции, касающейся контейнеров, 1972 г. (11-13 мая 1981 г.); 
вступление в силу - 8 марта 1983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4.4.10. с)-2 Устройство, показанное на рисунке N 3, приведенном в 
настоящем Приложении, отвечает требованиям последнего абзаца пункта 10 
статьи 4 Приложения 4. Оно отвечает также требованиям пункта 6 статьи 4 
Приложения 4.
</w:t>
      </w:r>
      <w:r>
        <w:br/>
      </w:r>
      <w:r>
        <w:rPr>
          <w:rFonts w:ascii="Times New Roman"/>
          <w:b w:val="false"/>
          <w:i w:val="false"/>
          <w:color w:val="000000"/>
          <w:sz w:val="28"/>
        </w:rPr>
        <w:t>
          5. Приложение 5
</w:t>
      </w:r>
      <w:r>
        <w:br/>
      </w:r>
      <w:r>
        <w:rPr>
          <w:rFonts w:ascii="Times New Roman"/>
          <w:b w:val="false"/>
          <w:i w:val="false"/>
          <w:color w:val="000000"/>
          <w:sz w:val="28"/>
        </w:rPr>
        <w:t>
          5.1 Пункт 1 - Допущение соединенных попарно контейнеров, крытых 
брезентом
</w:t>
      </w:r>
      <w:r>
        <w:br/>
      </w:r>
      <w:r>
        <w:rPr>
          <w:rFonts w:ascii="Times New Roman"/>
          <w:b w:val="false"/>
          <w:i w:val="false"/>
          <w:color w:val="000000"/>
          <w:sz w:val="28"/>
        </w:rPr>
        <w:t>
          5.1-1 Если два крытых брезентом контейнера, допущенных к перевозке 
под таможенными печатями и пломбами, соединены попарно таким образом, что 
они образуют один контейнер, крытый одним брезентом и удовлетворяющий 
требованиям, предъявляемым при перевозке под таможенными печатями и 
пломбами, то для такой комбинации контейнеров не требуется отдельного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свидетельства о допущении или таблички о допущении.
                      Приложение 6 - Рис. N 1
     Конструктивное устройство для крепления брезента к контейнеру
     Изображенное ниже устройство отвечает требованиям подпункта 6 а) 
статьи 4 Приложения 4.
                       (См. бумажный вариант)
                      Приложение 6 - Рис. N 2
             Устройство для крепления брезента к угловым 
                        элементам контейнера
     Изображенное ниже устройство отвечает требованиям подпункта 6 а) 
статьи 4 Приложения 4.
                       (См. бумажный вариант)
                      Приложение 6 - Рис. N 3
        Другой пример метода крепления брезента к контейнеру
     Изображенное ниже устройство отвечает требованиям последнего абзаца 
пункта 10 статьи 4 Приложения 4. Оно отвечает также требованиям пункта 6 
статьи 4 Приложения 4.
                       (См. бумажный вариант)
                      Приложение 6 - Рис. N 4*
       Образец петли устройства для наложения таможенных печатей
            и пломб на дверях термоизолированных контейнеров
________________
(*) Изменен на Первом совещании Административного комитета Таможенной 
конвенции, касающейся контейнеров, 1972 г. (11-13 мая 1981 г.); вступление 
в силу - 8 марта 1983 г.     
                        (См. бумажный вариант)
                      Приложение 6 - Рис. 5*
        Крытые брезентом контейнеры со скользящими кольцами
________________
(*) Изменен на Первом совещании Административного комитета Таможенной 
конвенции, касающейся контейнеров, 1972 г. (11-13 мая 1981 г.); вступление 
в силу - 8 марта 1983 г.     
                        (См. бумажный вариант)
                       Приложение 6 - Рис. 6*
                   Пример поворотного кольца (кольцо "D")
________________
(*) Изменен на Втором совещании Административного комитета Таможенной 
конвенции, касающейся контейнеров, 1972 г. (13-15 февраля 1984 г.); 
вступление в силу - 18 сентября 1985 г.     
                        (См. бумажный вариант)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7
</w:t>
      </w:r>
      <w:r>
        <w:br/>
      </w:r>
      <w:r>
        <w:rPr>
          <w:rFonts w:ascii="Times New Roman"/>
          <w:b w:val="false"/>
          <w:i w:val="false"/>
          <w:color w:val="000000"/>
          <w:sz w:val="28"/>
        </w:rPr>
        <w:t>
                  Состав и правила процедуры Административного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Членами Административного комитета являются Договаривающиеся 
Стороны.
</w:t>
      </w:r>
      <w:r>
        <w:br/>
      </w:r>
      <w:r>
        <w:rPr>
          <w:rFonts w:ascii="Times New Roman"/>
          <w:b w:val="false"/>
          <w:i w:val="false"/>
          <w:color w:val="000000"/>
          <w:sz w:val="28"/>
        </w:rPr>
        <w:t>
          2. Комитет может постановить, что компетентные администрации 
государств, упомянутых в статье 18 настоящей Конвенции, не являющихся 
Договаривающимися Сторонами, или представители международных организаций 
могут при рассмотрении интересующих их вопросов присутствовать на сессиях 
Комитета в качестве наблюдателей.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Совет таможенного сотрудничества предоставляет Комитету услуги 
секретариата.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Ежегодно на первой сессии Комитет избирает председателя и заместителя 
председателя.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Компетентные администрации Договаривающихся Сторон направляют Совету 
таможенного сотрудничества мотивированные предложения о внесении поправок 
в настоящую Конвенцию, а также просьбы о включении тех или иных пунктов в 
повестку дня сессий Комитета. Совет таможенного сотрудничества доводит эти 
предложения до сведения компетентных администраций Договаривающихся Сторон 
и государств, упомянутых в статье 18 настоящей Конвенции, не являющихся 
Договаривающимися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Совет таможенного сотрудничества созывает Комитет в сроки, 
установленные этим последним, но не реже одного раза в два года, а также 
по просьбе компетентных администраций по меньшей мере пяти 
Договаривающихся Сторон.(*) Он рассылает предварительную повестку дня 
компетентным администрациям Договаривающихся Сторон и государствам, 
упомянутым в статье 18 настоящей Конвенции, не являющимся 
Договаривающимися Сторонами, по крайней мере за 6 недель до начала сессии 
Комитета.
________________     
(*) Снабжен поправкой на Втором совещании Административного комитета 
Таможенной конвенции, касающейся контейнеров, 1972 г. (13-15 февраля 1984 
г.); вступление в силу - 18 сентября 1985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На основе решения Комитета, принятого в силу положений пункта 2 
статьи 1 настоящих Правил, Совет таможенного сотрудничества предлагает 
компетентным администрациям государств, упомянутых в статье 18 настоящей 
Конвенции, не являющихся Договаривающимися Сторонами, и заинтересованным 
международным организациям направить своих наблюдателей на сессии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Предложения ставятся на голосование. Каждая Договаривающаяся Сторона, 
представленная на сессии, имеет один голос. Предложения, не являющиеся 
предложениями о внесении поправок в настоящую Конвенцию, принимаются в 
Комитете большинством присутствующих и голосующих. Поправки к настоящей 
Конвенции и решения, упомянутые в пункте 5 статьи 21 и в пункте 6 статьи 
22 настоящей Конвенции, касающиеся вступления в силу поправок, принимаются 
большинством в две трети присутствующих и голосующих.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Перед закрытием сессии Комитет утверждает доклад.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отсутствии в данном Приложении соответствующих положений 
применяются Правила процедуры Совета таможенного сотрудничества, если 
Комитет не решит иначе.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Протокол о подписании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момент подписания настоящей Конвенции от сего числа 
нижеподписавшиеся, надлежащим образом на то уполномоченные своими 
правительствами, заявляют следующее:
</w:t>
      </w:r>
      <w:r>
        <w:br/>
      </w:r>
      <w:r>
        <w:rPr>
          <w:rFonts w:ascii="Times New Roman"/>
          <w:b w:val="false"/>
          <w:i w:val="false"/>
          <w:color w:val="000000"/>
          <w:sz w:val="28"/>
        </w:rPr>
        <w:t>
          1. Принцип временного ввоза контейнеров несовместим с тем, чтобы, 
при исчислении причитающихся ввозных пошлин и сборов, вес или стоимость 
контейнера, ввезенного в соответствии с процедурой временного ввоза, 
добавлялись к весу или стоимости перевозимого в нем груза. Добавление к 
весу груза определенного коэффициента на тару, официально установленного 
для грузов, перевозимых в контейнерах, разрешается при условии, что такое 
добавление производится в связи с отсутствием упаковки или с ее особым 
характером, а не потому, что грузы перевозятся в контейнерах. 
</w:t>
      </w:r>
      <w:r>
        <w:br/>
      </w:r>
      <w:r>
        <w:rPr>
          <w:rFonts w:ascii="Times New Roman"/>
          <w:b w:val="false"/>
          <w:i w:val="false"/>
          <w:color w:val="000000"/>
          <w:sz w:val="28"/>
        </w:rPr>
        <w:t>
          2. Положения настоящей Конвенции не препятствуют применению 
национальных предписаний или международных соглашений нетаможенного 
характера, регламентирующих использование контейнеров.
</w:t>
      </w:r>
      <w:r>
        <w:br/>
      </w:r>
      <w:r>
        <w:rPr>
          <w:rFonts w:ascii="Times New Roman"/>
          <w:b w:val="false"/>
          <w:i w:val="false"/>
          <w:color w:val="000000"/>
          <w:sz w:val="28"/>
        </w:rPr>
        <w:t>
          3. Установление в статье 1 настоящей Конвенции минимального 
внутреннего объема контейнера в один кубический метр не означает 
необходимости применения более ограничительных правил в отношении 
контейнеров меньшего объема, и Договаривающиеся Стороны будут стремиться 
применять к этим контейнерам процедуру временного ввоза, аналогичную той, 
которую они применяют к контейнерам, определение которых приведено в 
настоящей Конвенции. 
</w:t>
      </w:r>
      <w:r>
        <w:br/>
      </w:r>
      <w:r>
        <w:rPr>
          <w:rFonts w:ascii="Times New Roman"/>
          <w:b w:val="false"/>
          <w:i w:val="false"/>
          <w:color w:val="000000"/>
          <w:sz w:val="28"/>
        </w:rPr>
        <w:t>
          4. Что касается процедур временного ввоза контейнеров,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предусмотренных положениями статей 6, 7 и 8 настоящей Конвенции, 
Договаривающиеся Стороны признают, что упразднение любых таможенных 
документов и любых гарантий будет способствовать достижению ими одной из 
основных целей настоящей Конвенции, и они будут стремиться к этому 
результату.     
(Специалисты: Склярова И.В.,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