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e4c7" w14:textId="e15e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Страсбургскому соглашению о Международной патентной классификации</w:t>
      </w:r>
    </w:p>
    <w:p>
      <w:pPr>
        <w:spacing w:after="0"/>
        <w:ind w:left="0"/>
        <w:jc w:val="both"/>
      </w:pPr>
      <w:r>
        <w:rPr>
          <w:rFonts w:ascii="Times New Roman"/>
          <w:b w:val="false"/>
          <w:i w:val="false"/>
          <w:color w:val="000000"/>
          <w:sz w:val="28"/>
        </w:rPr>
        <w:t>Закон Республики Казахстан от 16 ноября 2001 года № 257</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Республике Казахстан присоединиться к Страсбургскому соглашению о 
Международной патентной классификации, совершенному в Страсбурге 24 марта 
1971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Официальный русский текст,
</w:t>
      </w:r>
      <w:r>
        <w:br/>
      </w:r>
      <w:r>
        <w:rPr>
          <w:rFonts w:ascii="Times New Roman"/>
          <w:b w:val="false"/>
          <w:i w:val="false"/>
          <w:color w:val="000000"/>
          <w:sz w:val="28"/>
        </w:rPr>
        <w:t>
                                              подготовленный в соответствии
                                              со статьей 16 (2)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Страсбургское соглашение о 
</w:t>
      </w:r>
      <w:r>
        <w:br/>
      </w:r>
      <w:r>
        <w:rPr>
          <w:rFonts w:ascii="Times New Roman"/>
          <w:b w:val="false"/>
          <w:i w:val="false"/>
          <w:color w:val="000000"/>
          <w:sz w:val="28"/>
        </w:rPr>
        <w:t>
                                  Международной патентной классификации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 24 марта 1971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w:t>
      </w:r>
      <w:r>
        <w:br/>
      </w:r>
      <w:r>
        <w:rPr>
          <w:rFonts w:ascii="Times New Roman"/>
          <w:b w:val="false"/>
          <w:i w:val="false"/>
          <w:color w:val="000000"/>
          <w:sz w:val="28"/>
        </w:rPr>
        <w:t>
          Считая, что всеобщее принятие единой системы классификации патентов, 
авторских свидетельств, полезных моделей и свидетельств о полезности 
отвечает общим интересам и будет способствовать установлению более тесного 
международного сотрудничества в области промышленной собственности, а 
также содействовать гармонизации национальных законодательств в этой 
области,
</w:t>
      </w:r>
      <w:r>
        <w:br/>
      </w:r>
      <w:r>
        <w:rPr>
          <w:rFonts w:ascii="Times New Roman"/>
          <w:b w:val="false"/>
          <w:i w:val="false"/>
          <w:color w:val="000000"/>
          <w:sz w:val="28"/>
        </w:rPr>
        <w:t>
          Признавая значение Европейской конвенции по Международной 
классификации патентов на изобретения от 19 декабря 1954 года, в 
соответствии с которой Европейский Совет создал Международную 
классификацию патентов на изобретения,
</w:t>
      </w:r>
      <w:r>
        <w:br/>
      </w:r>
      <w:r>
        <w:rPr>
          <w:rFonts w:ascii="Times New Roman"/>
          <w:b w:val="false"/>
          <w:i w:val="false"/>
          <w:color w:val="000000"/>
          <w:sz w:val="28"/>
        </w:rPr>
        <w:t>
          Принимая во внимание общую ценность этой Классификации и ее значение 
для всех стран-участниц Парижской конвенции по охране промышленной 
собственности,
</w:t>
      </w:r>
      <w:r>
        <w:br/>
      </w:r>
      <w:r>
        <w:rPr>
          <w:rFonts w:ascii="Times New Roman"/>
          <w:b w:val="false"/>
          <w:i w:val="false"/>
          <w:color w:val="000000"/>
          <w:sz w:val="28"/>
        </w:rPr>
        <w:t>
          Принимая во внимание значение этой Классификации для развивающихся 
стран, которая облегчает им доступ к постоянно увеличивающемуся объему 
современных технических достижений,
</w:t>
      </w:r>
      <w:r>
        <w:br/>
      </w:r>
      <w:r>
        <w:rPr>
          <w:rFonts w:ascii="Times New Roman"/>
          <w:b w:val="false"/>
          <w:i w:val="false"/>
          <w:color w:val="000000"/>
          <w:sz w:val="28"/>
        </w:rPr>
        <w:t>
          Принимая во внимание статью 19 Парижской конвенции по охране 
промышленной собственности от 20 марта 1883 года, пересмотренной в 
Брюсселе 14 декабря 1900 года, в Вашингтоне 2 июня 1911 года, в Гааге 6 
ноября 1925 года, в Лондоне 2 июня 1934 года, в Лиссабоне 31 октября 1958 
года и в Стокгольме 14 июля 1967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Создание Специального союза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Принятие Международной классификации
     Страны, к которым применяется настоящее Соглашение, образуют 
Специальный союз и принимают единую классификацию патентов на изобретения, 
авторских свидетельств, полезных моделей и свидетельств о полезности. 
Классификация именуется "Международной патентной классификацией" 
(называемой ниже "Классификация").
                              Статья 2 
                      Определение Классификации
     (1) (а)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года (называемой ниже "Европейская конвенция"), который      
         вступил в силу и был опубликован Генеральным секретарем           
         Европейского Совета 1 сентября 1968 года;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
     (b) Руководство и примечания, включенные в текст Классификации, 
являются неотъемлемой частью этого текста.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 Текст, упомянутый в пункте (1)(а)(i), содержится в двух 
аутентичных экземплярах, каждый на английском и французском языках, 
сданных на хранение на дату, когда настоящее Соглашение открывается для 
подписания, один экземпляр - Генеральному секретарю Европейского Совета и 
другой экземпляр - Генеральному директору Всемирной организации 
интеллектуальной собственности, созданной на основании Конвенции от 14 
июля 1967 года (называемых ниже соответственно "Генеральный директор" и 
"Организация").
</w:t>
      </w:r>
      <w:r>
        <w:br/>
      </w:r>
      <w:r>
        <w:rPr>
          <w:rFonts w:ascii="Times New Roman"/>
          <w:b w:val="false"/>
          <w:i w:val="false"/>
          <w:color w:val="000000"/>
          <w:sz w:val="28"/>
        </w:rPr>
        <w:t>
          (b) Изменения, упомянутые в пункте (1)(а)(ii), сдаются на хранение в 
двух аутентичных экземплярах, каждый на английском и французском языках, 
один экземпляр - Генеральному секретарю Европейского Совета и другой 
экземпляр - Генеральному директору.
</w:t>
      </w:r>
      <w:r>
        <w:br/>
      </w:r>
      <w:r>
        <w:rPr>
          <w:rFonts w:ascii="Times New Roman"/>
          <w:b w:val="false"/>
          <w:i w:val="false"/>
          <w:color w:val="000000"/>
          <w:sz w:val="28"/>
        </w:rPr>
        <w:t>
          (c) Изменения, упомянутые в пункте (1)(а)(iii), сдаются на хранение 
Генеральному директору только в одном аутентичном экземпляре на английском 
и французском языках.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Языки Классификации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Классификация разрабатывается на английском и французском языках, 
причем оба текста являются полностью аутентичными.
</w:t>
      </w:r>
      <w:r>
        <w:br/>
      </w:r>
      <w:r>
        <w:rPr>
          <w:rFonts w:ascii="Times New Roman"/>
          <w:b w:val="false"/>
          <w:i w:val="false"/>
          <w:color w:val="000000"/>
          <w:sz w:val="28"/>
        </w:rPr>
        <w:t>
          (2) Официальные тексты Классификации на испанском, немецком, 
</w:t>
      </w:r>
      <w:r>
        <w:rPr>
          <w:rFonts w:ascii="Times New Roman"/>
          <w:b w:val="false"/>
          <w:i w:val="false"/>
          <w:color w:val="000000"/>
          <w:sz w:val="28"/>
        </w:rPr>
        <w:t>
</w:t>
      </w:r>
    </w:p>
    <w:p>
      <w:pPr>
        <w:spacing w:after="0"/>
        <w:ind w:left="0"/>
        <w:jc w:val="left"/>
      </w:pPr>
      <w:r>
        <w:rPr>
          <w:rFonts w:ascii="Times New Roman"/>
          <w:b w:val="false"/>
          <w:i w:val="false"/>
          <w:color w:val="000000"/>
          <w:sz w:val="28"/>
        </w:rPr>
        <w:t>
португальском, русском и японском языках, а также на других языках, 
которые определит Ассамблея, упомянутая в статье 7, вырабатываются 
Международным бюро Организации (называемым ниже "Международное бюро") 
после консультаций с заинтересованными правительствами либо на основе 
перевода, представленного этими правительствами, либо другим способом, 
который не вызывает финансовых последствий для бюджета Специального союза 
или Организации.
                              Статья 4 
                     Использование Классификации
     (1) Классификация носит исключительно административный характер.
     (2) Каждая страна Специального союза имеет право использовать 
Классификацию или в качестве основной, или в качестве дополнительной 
системы.
     (3) Компетентные органы стран Специального союза включают:
     (i) в выдаваемые ими патенты, авторские свидетельства, полезные       
         модели и свидетельства о полезности, а также в заявки,            
         относящиеся к указанным видам охраны, независимо от того,         
         публикуются ли они этими органами или только выкладываются ими    
         для публичного ознакомления, и
     (ii) в извещения, помещаемые в официальных изданиях о публикации или  
         выкладке документов, упомянутых в подпункте (i), 
     полные индексы Классификации, примененной к изобретению, к которому 
относится документ, упомянутый в подпункте (i).
     (4) При подписании настоящего Соглашения или при сдаче на хранение 
ратификационной грамоты или акта о присоединении:
     (i) любая страна может заявить, что она не берет на себя              
         обязательство включать индексы, относящиеся к группам или         
         подгруппам классификации, как это предусмотрено пунктом (3), в    
         заявки, которые были только выложены для публичного ознакомления, 
         а также в извещения, относящиеся к этим заявкам, и 
     (ii) любая страна, которая не проводит экспертизы на новизну, будь то 
         экспертиза обычная или отсроченная, и в которой процедура выдачи  
         патентов или других видов охраны не предусматривает проведения    
         поиска для определения состояния уровня техники, может заявить,   
         что она не берет на себя обязательство включать индексы,          
         относящиеся к группам и подгруппам Классификации, в документы и   
         извещения, упомянутые в пункте (3). Если такие обстоятельства     
         существуют только в отношении некоторых видов охраны или          
         некоторых областей техники, данная страна может сделать оговорку  
         только в отношении того, чего касаются упомянутые обстоятельства.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Индексы Классификации, которым предшествуют слова "Международная 
патентная классификация" или сокращение этих слов, которое будет 
определено Комитетом экспертов, упомянутым в статье 5, печатаются жирным 
шрифтом или таким способом, чтобы они были ясно видны в начале каждого 
документа, упомянутого в пункте (3)(i), в который они должны включаться.
</w:t>
      </w:r>
      <w:r>
        <w:br/>
      </w:r>
      <w:r>
        <w:rPr>
          <w:rFonts w:ascii="Times New Roman"/>
          <w:b w:val="false"/>
          <w:i w:val="false"/>
          <w:color w:val="000000"/>
          <w:sz w:val="28"/>
        </w:rPr>
        <w:t>
          (6) Если любая страна Специального союза поручает выдачу патентов 
какому-либо межправительственному органу, она принимает все возможные 
меры, обеспечивающие использование этим органом Классификации в 
соответствии с настоящей статьей.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Комитет экспертов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Учреждается Комитет экспертов, в котором представлена каждая 
страна Специального союза.
</w:t>
      </w:r>
      <w:r>
        <w:br/>
      </w:r>
      <w:r>
        <w:rPr>
          <w:rFonts w:ascii="Times New Roman"/>
          <w:b w:val="false"/>
          <w:i w:val="false"/>
          <w:color w:val="000000"/>
          <w:sz w:val="28"/>
        </w:rPr>
        <w:t>
          (2) (а) Генеральный директор приглашает на заседания Комитета 
экспертов в качестве наблюдателей представителей межправительственных 
организаций, специализирующихся в патентной области, и в которых по 
крайней мере одна из стран-членов является участницей настоящего 
Соглашения.
</w:t>
      </w:r>
      <w:r>
        <w:br/>
      </w:r>
      <w:r>
        <w:rPr>
          <w:rFonts w:ascii="Times New Roman"/>
          <w:b w:val="false"/>
          <w:i w:val="false"/>
          <w:color w:val="000000"/>
          <w:sz w:val="28"/>
        </w:rPr>
        <w:t>
          (b) Генеральный директор, по своей инициативе или по просьбе Комитета 
экспертов, приглашает представителей других межправительственных и 
международных неправительственных организаций участвовать в обсуждении 
вопросов, представляющих для них интерес. 
</w:t>
      </w:r>
      <w:r>
        <w:br/>
      </w:r>
      <w:r>
        <w:rPr>
          <w:rFonts w:ascii="Times New Roman"/>
          <w:b w:val="false"/>
          <w:i w:val="false"/>
          <w:color w:val="000000"/>
          <w:sz w:val="28"/>
        </w:rPr>
        <w:t>
          (3) Комитет экспертов: 
</w:t>
      </w:r>
      <w:r>
        <w:br/>
      </w:r>
      <w:r>
        <w:rPr>
          <w:rFonts w:ascii="Times New Roman"/>
          <w:b w:val="false"/>
          <w:i w:val="false"/>
          <w:color w:val="000000"/>
          <w:sz w:val="28"/>
        </w:rPr>
        <w:t>
          (i) вносит изменения в Классификацию; 
</w:t>
      </w:r>
      <w:r>
        <w:br/>
      </w:r>
      <w:r>
        <w:rPr>
          <w:rFonts w:ascii="Times New Roman"/>
          <w:b w:val="false"/>
          <w:i w:val="false"/>
          <w:color w:val="000000"/>
          <w:sz w:val="28"/>
        </w:rPr>
        <w:t>
          (ii) направляет странам Специального союза рекомендации с целью       
</w:t>
      </w:r>
      <w:r>
        <w:br/>
      </w:r>
      <w:r>
        <w:rPr>
          <w:rFonts w:ascii="Times New Roman"/>
          <w:b w:val="false"/>
          <w:i w:val="false"/>
          <w:color w:val="000000"/>
          <w:sz w:val="28"/>
        </w:rPr>
        <w:t>
                  содействия использованию Классификации и развитию ее              
</w:t>
      </w:r>
      <w:r>
        <w:br/>
      </w:r>
      <w:r>
        <w:rPr>
          <w:rFonts w:ascii="Times New Roman"/>
          <w:b w:val="false"/>
          <w:i w:val="false"/>
          <w:color w:val="000000"/>
          <w:sz w:val="28"/>
        </w:rPr>
        <w:t>
                  единообразного применения; 
</w:t>
      </w:r>
      <w:r>
        <w:br/>
      </w:r>
      <w:r>
        <w:rPr>
          <w:rFonts w:ascii="Times New Roman"/>
          <w:b w:val="false"/>
          <w:i w:val="false"/>
          <w:color w:val="000000"/>
          <w:sz w:val="28"/>
        </w:rPr>
        <w:t>
          (iii) содействует международному сотрудничеству в реклассификации    
</w:t>
      </w:r>
      <w:r>
        <w:br/>
      </w:r>
      <w:r>
        <w:rPr>
          <w:rFonts w:ascii="Times New Roman"/>
          <w:b w:val="false"/>
          <w:i w:val="false"/>
          <w:color w:val="000000"/>
          <w:sz w:val="28"/>
        </w:rPr>
        <w:t>
                  документации, используемой при экспертизе изобретений, принимая
</w:t>
      </w:r>
      <w:r>
        <w:br/>
      </w:r>
      <w:r>
        <w:rPr>
          <w:rFonts w:ascii="Times New Roman"/>
          <w:b w:val="false"/>
          <w:i w:val="false"/>
          <w:color w:val="000000"/>
          <w:sz w:val="28"/>
        </w:rPr>
        <w:t>
                  во внимание, в частности, нужды развивающихся стран;
</w:t>
      </w:r>
      <w:r>
        <w:br/>
      </w:r>
      <w:r>
        <w:rPr>
          <w:rFonts w:ascii="Times New Roman"/>
          <w:b w:val="false"/>
          <w:i w:val="false"/>
          <w:color w:val="000000"/>
          <w:sz w:val="28"/>
        </w:rPr>
        <w:t>
          (iv) принимает все другие меры, которые, не вызывая финансовых        
</w:t>
      </w:r>
      <w:r>
        <w:br/>
      </w:r>
      <w:r>
        <w:rPr>
          <w:rFonts w:ascii="Times New Roman"/>
          <w:b w:val="false"/>
          <w:i w:val="false"/>
          <w:color w:val="000000"/>
          <w:sz w:val="28"/>
        </w:rPr>
        <w:t>
                  последствий для бюджета Специального союза или Организации,       
</w:t>
      </w:r>
      <w:r>
        <w:br/>
      </w:r>
      <w:r>
        <w:rPr>
          <w:rFonts w:ascii="Times New Roman"/>
          <w:b w:val="false"/>
          <w:i w:val="false"/>
          <w:color w:val="000000"/>
          <w:sz w:val="28"/>
        </w:rPr>
        <w:t>
                  содействуют применению Классификации развивающимися странами; 
</w:t>
      </w:r>
      <w:r>
        <w:br/>
      </w:r>
      <w:r>
        <w:rPr>
          <w:rFonts w:ascii="Times New Roman"/>
          <w:b w:val="false"/>
          <w:i w:val="false"/>
          <w:color w:val="000000"/>
          <w:sz w:val="28"/>
        </w:rPr>
        <w:t>
          (v) имеет право создавать подкомитеты и рабочие группы.
</w:t>
      </w:r>
      <w:r>
        <w:br/>
      </w:r>
      <w:r>
        <w:rPr>
          <w:rFonts w:ascii="Times New Roman"/>
          <w:b w:val="false"/>
          <w:i w:val="false"/>
          <w:color w:val="000000"/>
          <w:sz w:val="28"/>
        </w:rPr>
        <w:t>
          (4) Комитет экспертов принимает свои правила процедуры. Эти правила 
обеспечивают возможность участия в заседаниях его подкомитетов и рабочих 
групп межправительственных организаций, упомянутых в пункте (2) (а), 
которые могут выполнять значительный объем работ по совершенствованию 
Классификации.
</w:t>
      </w:r>
      <w:r>
        <w:br/>
      </w:r>
      <w:r>
        <w:rPr>
          <w:rFonts w:ascii="Times New Roman"/>
          <w:b w:val="false"/>
          <w:i w:val="false"/>
          <w:color w:val="000000"/>
          <w:sz w:val="28"/>
        </w:rPr>
        <w:t>
          (5) Предложения по изменению Классификации могут вноситься 
компетентным органом любой страны Специального союза, Международным бюро, 
любой межправительственной организацией, представленной в Комитете 
экспертов в силу пункта (2) (а), и любой другой организацией, специально 
приглашенной Комитетом экспертов для внесения таких предложений. 
Предложения пересылаются в Международное бюро, которое направляет их 
членам Комитета экспертов и наблюдателям не позднее чем за два месяца до 
начала сессии Комитета экспертов, на которой названные предложения должны 
рассматриваться. 
</w:t>
      </w:r>
      <w:r>
        <w:br/>
      </w:r>
      <w:r>
        <w:rPr>
          <w:rFonts w:ascii="Times New Roman"/>
          <w:b w:val="false"/>
          <w:i w:val="false"/>
          <w:color w:val="000000"/>
          <w:sz w:val="28"/>
        </w:rPr>
        <w:t>
          (6) (а) Каждая страна - член Комитета экспертов имеет один голос.
</w:t>
      </w:r>
      <w:r>
        <w:br/>
      </w:r>
      <w:r>
        <w:rPr>
          <w:rFonts w:ascii="Times New Roman"/>
          <w:b w:val="false"/>
          <w:i w:val="false"/>
          <w:color w:val="000000"/>
          <w:sz w:val="28"/>
        </w:rPr>
        <w:t>
          (b) Комитет экспертов принимает свои решения простым большинством 
голосов присутствующих и участвующих в голосовании стран.
</w:t>
      </w:r>
      <w:r>
        <w:br/>
      </w:r>
      <w:r>
        <w:rPr>
          <w:rFonts w:ascii="Times New Roman"/>
          <w:b w:val="false"/>
          <w:i w:val="false"/>
          <w:color w:val="000000"/>
          <w:sz w:val="28"/>
        </w:rPr>
        <w:t>
          (c) Для принятия любого решения, которое расценивается одной пятой 
присутствующих и участвующих в голосовании стран как решение, ведущее к 
изменению основной структуры Классификации или вызывающее значительную 
работу по реклассификации, требуется большинство в три четверти голосов 
присутствующих и участвующих в голосовании стран.
</w:t>
      </w:r>
      <w:r>
        <w:br/>
      </w:r>
      <w:r>
        <w:rPr>
          <w:rFonts w:ascii="Times New Roman"/>
          <w:b w:val="false"/>
          <w:i w:val="false"/>
          <w:color w:val="000000"/>
          <w:sz w:val="28"/>
        </w:rPr>
        <w:t>
          (d) Голоса воздержавшихся в расчет не принимаются.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Уведомление, вступление в силу и публикация 
</w:t>
      </w:r>
      <w:r>
        <w:br/>
      </w:r>
      <w:r>
        <w:rPr>
          <w:rFonts w:ascii="Times New Roman"/>
          <w:b w:val="false"/>
          <w:i w:val="false"/>
          <w:color w:val="000000"/>
          <w:sz w:val="28"/>
        </w:rPr>
        <w:t>
                                        изменений и других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Компетентные органы стран Специального союза уведомляются 
Международным бюро о каждом решении Комитета экспертов относительно 
принятия изменений в Классификации и о рекомендациях Комитета экспертов. 
Изменения вступают в силу через шесть месяцев с даты отправки уведомления.
</w:t>
      </w:r>
      <w:r>
        <w:br/>
      </w:r>
      <w:r>
        <w:rPr>
          <w:rFonts w:ascii="Times New Roman"/>
          <w:b w:val="false"/>
          <w:i w:val="false"/>
          <w:color w:val="000000"/>
          <w:sz w:val="28"/>
        </w:rPr>
        <w:t>
          (2) Международное бюро включает в Классификацию изменения, вступившие 
в силу. Сообщения об изменениях публикуются в периодических изданиях, 
определяемых Ассамблеей, упомянутой в статье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Ассамблея Специального союза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Специальный союз имеет Ассамблею, состоящую из стран 
Специального союза.
</w:t>
      </w:r>
      <w:r>
        <w:br/>
      </w:r>
      <w:r>
        <w:rPr>
          <w:rFonts w:ascii="Times New Roman"/>
          <w:b w:val="false"/>
          <w:i w:val="false"/>
          <w:color w:val="000000"/>
          <w:sz w:val="28"/>
        </w:rPr>
        <w:t>
          (b) Правительство каждой страны Специального союза представлено одним 
делегатом, который может иметь заместителей, советников и экспертов.
</w:t>
      </w:r>
      <w:r>
        <w:br/>
      </w:r>
      <w:r>
        <w:rPr>
          <w:rFonts w:ascii="Times New Roman"/>
          <w:b w:val="false"/>
          <w:i w:val="false"/>
          <w:color w:val="000000"/>
          <w:sz w:val="28"/>
        </w:rPr>
        <w:t>
          (c) Любая межправительственная организация, упомянутая в статье 
5(2)(а), может быть представлена наблюдателем на заседаниях Ассамблеи, а 
если Ассамблея постановит, то и в таких комитетах и рабочих группах, 
которые могут быть созданы Ассамблеей.
</w:t>
      </w:r>
      <w:r>
        <w:br/>
      </w:r>
      <w:r>
        <w:rPr>
          <w:rFonts w:ascii="Times New Roman"/>
          <w:b w:val="false"/>
          <w:i w:val="false"/>
          <w:color w:val="000000"/>
          <w:sz w:val="28"/>
        </w:rPr>
        <w:t>
          (d) Расходы каждой делегации несет назначившее ее правительство.
</w:t>
      </w:r>
      <w:r>
        <w:br/>
      </w:r>
      <w:r>
        <w:rPr>
          <w:rFonts w:ascii="Times New Roman"/>
          <w:b w:val="false"/>
          <w:i w:val="false"/>
          <w:color w:val="000000"/>
          <w:sz w:val="28"/>
        </w:rPr>
        <w:t>
          (2) (а) С учетом положений статьи 5 Ассамблея: 
</w:t>
      </w:r>
      <w:r>
        <w:br/>
      </w:r>
      <w:r>
        <w:rPr>
          <w:rFonts w:ascii="Times New Roman"/>
          <w:b w:val="false"/>
          <w:i w:val="false"/>
          <w:color w:val="000000"/>
          <w:sz w:val="28"/>
        </w:rPr>
        <w:t>
          (i) рассматривает все вопросы, относящиеся к сохранению и развитию
</w:t>
      </w:r>
      <w:r>
        <w:br/>
      </w:r>
      <w:r>
        <w:rPr>
          <w:rFonts w:ascii="Times New Roman"/>
          <w:b w:val="false"/>
          <w:i w:val="false"/>
          <w:color w:val="000000"/>
          <w:sz w:val="28"/>
        </w:rPr>
        <w:t>
                  Специального союза и применению настоящего Соглашения;
</w:t>
      </w:r>
      <w:r>
        <w:br/>
      </w:r>
      <w:r>
        <w:rPr>
          <w:rFonts w:ascii="Times New Roman"/>
          <w:b w:val="false"/>
          <w:i w:val="false"/>
          <w:color w:val="000000"/>
          <w:sz w:val="28"/>
        </w:rPr>
        <w:t>
          (ii) дает Международному бюро указания относительно подготовки        
</w:t>
      </w:r>
      <w:r>
        <w:br/>
      </w:r>
      <w:r>
        <w:rPr>
          <w:rFonts w:ascii="Times New Roman"/>
          <w:b w:val="false"/>
          <w:i w:val="false"/>
          <w:color w:val="000000"/>
          <w:sz w:val="28"/>
        </w:rPr>
        <w:t>
                  конференций по пересмотру;
</w:t>
      </w:r>
      <w:r>
        <w:br/>
      </w:r>
      <w:r>
        <w:rPr>
          <w:rFonts w:ascii="Times New Roman"/>
          <w:b w:val="false"/>
          <w:i w:val="false"/>
          <w:color w:val="000000"/>
          <w:sz w:val="28"/>
        </w:rPr>
        <w:t>
          (iii) рассматривает и утверждает отчеты и деятельность Генерального   
</w:t>
      </w:r>
      <w:r>
        <w:br/>
      </w:r>
      <w:r>
        <w:rPr>
          <w:rFonts w:ascii="Times New Roman"/>
          <w:b w:val="false"/>
          <w:i w:val="false"/>
          <w:color w:val="000000"/>
          <w:sz w:val="28"/>
        </w:rPr>
        <w:t>
                  директора, относящиеся к Специальному союзу, и дает ему все       
</w:t>
      </w:r>
      <w:r>
        <w:br/>
      </w:r>
      <w:r>
        <w:rPr>
          <w:rFonts w:ascii="Times New Roman"/>
          <w:b w:val="false"/>
          <w:i w:val="false"/>
          <w:color w:val="000000"/>
          <w:sz w:val="28"/>
        </w:rPr>
        <w:t>
                  необходимые инструкции по вопросам, входящим в компетенцию        
</w:t>
      </w:r>
      <w:r>
        <w:br/>
      </w:r>
      <w:r>
        <w:rPr>
          <w:rFonts w:ascii="Times New Roman"/>
          <w:b w:val="false"/>
          <w:i w:val="false"/>
          <w:color w:val="000000"/>
          <w:sz w:val="28"/>
        </w:rPr>
        <w:t>
                  Специального союза;
</w:t>
      </w:r>
      <w:r>
        <w:br/>
      </w:r>
      <w:r>
        <w:rPr>
          <w:rFonts w:ascii="Times New Roman"/>
          <w:b w:val="false"/>
          <w:i w:val="false"/>
          <w:color w:val="000000"/>
          <w:sz w:val="28"/>
        </w:rPr>
        <w:t>
          (iv) определяет программу, принимает трехгодичный бюджет Специального 
</w:t>
      </w:r>
      <w:r>
        <w:br/>
      </w:r>
      <w:r>
        <w:rPr>
          <w:rFonts w:ascii="Times New Roman"/>
          <w:b w:val="false"/>
          <w:i w:val="false"/>
          <w:color w:val="000000"/>
          <w:sz w:val="28"/>
        </w:rPr>
        <w:t>
                  союза и утверждает его финансовые отчеты;
</w:t>
      </w:r>
      <w:r>
        <w:br/>
      </w:r>
      <w:r>
        <w:rPr>
          <w:rFonts w:ascii="Times New Roman"/>
          <w:b w:val="false"/>
          <w:i w:val="false"/>
          <w:color w:val="000000"/>
          <w:sz w:val="28"/>
        </w:rPr>
        <w:t>
          (v) утверждает финансовый регламент Специального союза;
</w:t>
      </w:r>
      <w:r>
        <w:br/>
      </w:r>
      <w:r>
        <w:rPr>
          <w:rFonts w:ascii="Times New Roman"/>
          <w:b w:val="false"/>
          <w:i w:val="false"/>
          <w:color w:val="000000"/>
          <w:sz w:val="28"/>
        </w:rPr>
        <w:t>
          (vi) решает, на каких языках, кроме английского, французского и       
</w:t>
      </w:r>
      <w:r>
        <w:br/>
      </w:r>
      <w:r>
        <w:rPr>
          <w:rFonts w:ascii="Times New Roman"/>
          <w:b w:val="false"/>
          <w:i w:val="false"/>
          <w:color w:val="000000"/>
          <w:sz w:val="28"/>
        </w:rPr>
        <w:t>
                  языков, перечисленных в статье 3(2), следует выработать           
</w:t>
      </w:r>
      <w:r>
        <w:br/>
      </w:r>
      <w:r>
        <w:rPr>
          <w:rFonts w:ascii="Times New Roman"/>
          <w:b w:val="false"/>
          <w:i w:val="false"/>
          <w:color w:val="000000"/>
          <w:sz w:val="28"/>
        </w:rPr>
        <w:t>
                  официальные тексты Классификации;
</w:t>
      </w:r>
      <w:r>
        <w:br/>
      </w:r>
      <w:r>
        <w:rPr>
          <w:rFonts w:ascii="Times New Roman"/>
          <w:b w:val="false"/>
          <w:i w:val="false"/>
          <w:color w:val="000000"/>
          <w:sz w:val="28"/>
        </w:rPr>
        <w:t>
          (vii) создает такие комитеты и рабочие группы, какие считает          
</w:t>
      </w:r>
      <w:r>
        <w:br/>
      </w:r>
      <w:r>
        <w:rPr>
          <w:rFonts w:ascii="Times New Roman"/>
          <w:b w:val="false"/>
          <w:i w:val="false"/>
          <w:color w:val="000000"/>
          <w:sz w:val="28"/>
        </w:rPr>
        <w:t>
                  необходимыми для осуществления целей Специального союза;
</w:t>
      </w:r>
      <w:r>
        <w:br/>
      </w:r>
      <w:r>
        <w:rPr>
          <w:rFonts w:ascii="Times New Roman"/>
          <w:b w:val="false"/>
          <w:i w:val="false"/>
          <w:color w:val="000000"/>
          <w:sz w:val="28"/>
        </w:rPr>
        <w:t>
          (viii) определяет, с учетом положений пункта (1)(с), какие страны, не 
</w:t>
      </w:r>
      <w:r>
        <w:br/>
      </w:r>
      <w:r>
        <w:rPr>
          <w:rFonts w:ascii="Times New Roman"/>
          <w:b w:val="false"/>
          <w:i w:val="false"/>
          <w:color w:val="000000"/>
          <w:sz w:val="28"/>
        </w:rPr>
        <w:t>
                  являющиеся членами Специального союза, и какие                    
</w:t>
      </w:r>
      <w:r>
        <w:br/>
      </w:r>
      <w:r>
        <w:rPr>
          <w:rFonts w:ascii="Times New Roman"/>
          <w:b w:val="false"/>
          <w:i w:val="false"/>
          <w:color w:val="000000"/>
          <w:sz w:val="28"/>
        </w:rPr>
        <w:t>
                  межправительственные и международные неправительственные          
</w:t>
      </w:r>
      <w:r>
        <w:br/>
      </w:r>
      <w:r>
        <w:rPr>
          <w:rFonts w:ascii="Times New Roman"/>
          <w:b w:val="false"/>
          <w:i w:val="false"/>
          <w:color w:val="000000"/>
          <w:sz w:val="28"/>
        </w:rPr>
        <w:t>
                  организации допускаются на ее заседания в качестве наблюдателей,  
</w:t>
      </w:r>
      <w:r>
        <w:br/>
      </w:r>
      <w:r>
        <w:rPr>
          <w:rFonts w:ascii="Times New Roman"/>
          <w:b w:val="false"/>
          <w:i w:val="false"/>
          <w:color w:val="000000"/>
          <w:sz w:val="28"/>
        </w:rPr>
        <w:t>
                  а также на заседания любого комитета или рабочей группы,          
</w:t>
      </w:r>
      <w:r>
        <w:br/>
      </w:r>
      <w:r>
        <w:rPr>
          <w:rFonts w:ascii="Times New Roman"/>
          <w:b w:val="false"/>
          <w:i w:val="false"/>
          <w:color w:val="000000"/>
          <w:sz w:val="28"/>
        </w:rPr>
        <w:t>
                  созданных ею;
</w:t>
      </w:r>
      <w:r>
        <w:br/>
      </w:r>
      <w:r>
        <w:rPr>
          <w:rFonts w:ascii="Times New Roman"/>
          <w:b w:val="false"/>
          <w:i w:val="false"/>
          <w:color w:val="000000"/>
          <w:sz w:val="28"/>
        </w:rPr>
        <w:t>
          (ix) осуществляет любые другие надлежащие действия, направленные на   
</w:t>
      </w:r>
      <w:r>
        <w:br/>
      </w:r>
      <w:r>
        <w:rPr>
          <w:rFonts w:ascii="Times New Roman"/>
          <w:b w:val="false"/>
          <w:i w:val="false"/>
          <w:color w:val="000000"/>
          <w:sz w:val="28"/>
        </w:rPr>
        <w:t>
                  достижение целей Специального союза;
</w:t>
      </w:r>
      <w:r>
        <w:br/>
      </w:r>
      <w:r>
        <w:rPr>
          <w:rFonts w:ascii="Times New Roman"/>
          <w:b w:val="false"/>
          <w:i w:val="false"/>
          <w:color w:val="000000"/>
          <w:sz w:val="28"/>
        </w:rPr>
        <w:t>
          (х) выполняет другие функции, вытекающие из настоящего Соглашения.
</w:t>
      </w:r>
      <w:r>
        <w:br/>
      </w:r>
      <w:r>
        <w:rPr>
          <w:rFonts w:ascii="Times New Roman"/>
          <w:b w:val="false"/>
          <w:i w:val="false"/>
          <w:color w:val="000000"/>
          <w:sz w:val="28"/>
        </w:rPr>
        <w:t>
          (b)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r>
        <w:br/>
      </w:r>
      <w:r>
        <w:rPr>
          <w:rFonts w:ascii="Times New Roman"/>
          <w:b w:val="false"/>
          <w:i w:val="false"/>
          <w:color w:val="000000"/>
          <w:sz w:val="28"/>
        </w:rPr>
        <w:t>
          (3) (а) Каждая страна - член Ассамблеи имеет один голос.
</w:t>
      </w:r>
      <w:r>
        <w:br/>
      </w:r>
      <w:r>
        <w:rPr>
          <w:rFonts w:ascii="Times New Roman"/>
          <w:b w:val="false"/>
          <w:i w:val="false"/>
          <w:color w:val="000000"/>
          <w:sz w:val="28"/>
        </w:rPr>
        <w:t>
          (b) Половина стран - членов Ассамблеи составляет кворум.
</w:t>
      </w:r>
      <w:r>
        <w:br/>
      </w:r>
      <w:r>
        <w:rPr>
          <w:rFonts w:ascii="Times New Roman"/>
          <w:b w:val="false"/>
          <w:i w:val="false"/>
          <w:color w:val="000000"/>
          <w:sz w:val="28"/>
        </w:rPr>
        <w:t>
          (c) При отсутствии кворума Ассамблея может принимать решения, однако 
все такие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странам-членам Ассамблеи,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против них или 
воздерживаются. Если по истечении этого срока количество стран, таким 
образом проголосовавших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
</w:t>
      </w:r>
      <w:r>
        <w:br/>
      </w:r>
      <w:r>
        <w:rPr>
          <w:rFonts w:ascii="Times New Roman"/>
          <w:b w:val="false"/>
          <w:i w:val="false"/>
          <w:color w:val="000000"/>
          <w:sz w:val="28"/>
        </w:rPr>
        <w:t>
          (d) С учетом положений статьи 11(2) Ассамблея принимает свои решения 
большинством в две трети поданных голосов.
</w:t>
      </w:r>
      <w:r>
        <w:br/>
      </w:r>
      <w:r>
        <w:rPr>
          <w:rFonts w:ascii="Times New Roman"/>
          <w:b w:val="false"/>
          <w:i w:val="false"/>
          <w:color w:val="000000"/>
          <w:sz w:val="28"/>
        </w:rPr>
        <w:t>
          (e) Голоса воздержавшихся в расчет не принимаются.
</w:t>
      </w:r>
      <w:r>
        <w:br/>
      </w:r>
      <w:r>
        <w:rPr>
          <w:rFonts w:ascii="Times New Roman"/>
          <w:b w:val="false"/>
          <w:i w:val="false"/>
          <w:color w:val="000000"/>
          <w:sz w:val="28"/>
        </w:rPr>
        <w:t>
          (f) Делегат может представлять только одно государство и голосовать 
лишь от его имени.
</w:t>
      </w:r>
      <w:r>
        <w:br/>
      </w:r>
      <w:r>
        <w:rPr>
          <w:rFonts w:ascii="Times New Roman"/>
          <w:b w:val="false"/>
          <w:i w:val="false"/>
          <w:color w:val="000000"/>
          <w:sz w:val="28"/>
        </w:rPr>
        <w:t>
          (4) (а) Ассамблея собирается на очередную сессию раз в три года по 
созыву Генерального директора и, кроме исключительных случаев, в то же 
время и в том же месте, что и Генеральная Ассамблея Организации.
</w:t>
      </w:r>
      <w:r>
        <w:br/>
      </w:r>
      <w:r>
        <w:rPr>
          <w:rFonts w:ascii="Times New Roman"/>
          <w:b w:val="false"/>
          <w:i w:val="false"/>
          <w:color w:val="000000"/>
          <w:sz w:val="28"/>
        </w:rPr>
        <w:t>
          (b) Ассамблея собирается на чрезвычайную сессию, созываемую 
Генеральным директором, по требованию одной четверти стран-членов 
Ассамблеи.
</w:t>
      </w:r>
      <w:r>
        <w:br/>
      </w:r>
      <w:r>
        <w:rPr>
          <w:rFonts w:ascii="Times New Roman"/>
          <w:b w:val="false"/>
          <w:i w:val="false"/>
          <w:color w:val="000000"/>
          <w:sz w:val="28"/>
        </w:rPr>
        <w:t>
          (c) Генеральный директор подготавливает повестку дня каждой сессии.
</w:t>
      </w:r>
      <w:r>
        <w:br/>
      </w:r>
      <w:r>
        <w:rPr>
          <w:rFonts w:ascii="Times New Roman"/>
          <w:b w:val="false"/>
          <w:i w:val="false"/>
          <w:color w:val="000000"/>
          <w:sz w:val="28"/>
        </w:rPr>
        <w:t>
          (5) Ассамблея принимает свои правила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Международное бюро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Административные задачи Специального союза осуществляются 
Международным бюро.
</w:t>
      </w:r>
      <w:r>
        <w:br/>
      </w:r>
      <w:r>
        <w:rPr>
          <w:rFonts w:ascii="Times New Roman"/>
          <w:b w:val="false"/>
          <w:i w:val="false"/>
          <w:color w:val="000000"/>
          <w:sz w:val="28"/>
        </w:rPr>
        <w:t>
          (b) Международное бюро подготавливает, в частности, заседания и 
выполняет функции секретариата Ассамблеи, Комитета экспертов и таких 
других комитетов и рабочих групп, которые могут быть созданы Ассамблеей 
или Комитетом экспертов.
</w:t>
      </w:r>
      <w:r>
        <w:br/>
      </w:r>
      <w:r>
        <w:rPr>
          <w:rFonts w:ascii="Times New Roman"/>
          <w:b w:val="false"/>
          <w:i w:val="false"/>
          <w:color w:val="000000"/>
          <w:sz w:val="28"/>
        </w:rPr>
        <w:t>
          (c) Генеральный директор является главным должностным лицом 
Специального союза и представляет Специальный союз.
</w:t>
      </w:r>
      <w:r>
        <w:br/>
      </w:r>
      <w:r>
        <w:rPr>
          <w:rFonts w:ascii="Times New Roman"/>
          <w:b w:val="false"/>
          <w:i w:val="false"/>
          <w:color w:val="000000"/>
          <w:sz w:val="28"/>
        </w:rPr>
        <w:t>
          (2) Генеральный директор и любой назначенный им член персонала 
участвуют без права голоса во всех заседаниях Ассамблеи, Комитета 
экспертов и таких других комитетов или рабочих групп, которые могут быть 
созданы Ассамблеей или Комитетом экспертов. Генеральный директор или 
назначенный им член персонала является ex officio секретарем этих органов.
</w:t>
      </w:r>
      <w:r>
        <w:br/>
      </w:r>
      <w:r>
        <w:rPr>
          <w:rFonts w:ascii="Times New Roman"/>
          <w:b w:val="false"/>
          <w:i w:val="false"/>
          <w:color w:val="000000"/>
          <w:sz w:val="28"/>
        </w:rPr>
        <w:t>
          (3) (а) Международное бюро в соответствии с указаниями Ассамблеи 
подготавливает конференции по пересмотру.
</w:t>
      </w:r>
      <w:r>
        <w:br/>
      </w:r>
      <w:r>
        <w:rPr>
          <w:rFonts w:ascii="Times New Roman"/>
          <w:b w:val="false"/>
          <w:i w:val="false"/>
          <w:color w:val="000000"/>
          <w:sz w:val="28"/>
        </w:rPr>
        <w:t>
          (b)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r>
        <w:br/>
      </w:r>
      <w:r>
        <w:rPr>
          <w:rFonts w:ascii="Times New Roman"/>
          <w:b w:val="false"/>
          <w:i w:val="false"/>
          <w:color w:val="000000"/>
          <w:sz w:val="28"/>
        </w:rPr>
        <w:t>
          (с) Генеральный директор и назначенные им лица принимают участие в 
работе конференций по пересмотру без права голоса.
</w:t>
      </w:r>
      <w:r>
        <w:br/>
      </w:r>
      <w:r>
        <w:rPr>
          <w:rFonts w:ascii="Times New Roman"/>
          <w:b w:val="false"/>
          <w:i w:val="false"/>
          <w:color w:val="000000"/>
          <w:sz w:val="28"/>
        </w:rPr>
        <w:t>
          (4) Международное бюро выполняет любые другие возложенные на него 
задачи.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Финансы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Специальный союз имеет бюджет.
</w:t>
      </w:r>
      <w:r>
        <w:br/>
      </w:r>
      <w:r>
        <w:rPr>
          <w:rFonts w:ascii="Times New Roman"/>
          <w:b w:val="false"/>
          <w:i w:val="false"/>
          <w:color w:val="000000"/>
          <w:sz w:val="28"/>
        </w:rPr>
        <w:t>
          (b) Бюджет Специального союза включает поступления и расходы 
собственно Специального союза, его взнос в бюджет расходов, общих для 
Союзов, а также, в соответствующих случаях, отчисления в бюджет 
Конференции Организации.
</w:t>
      </w:r>
      <w:r>
        <w:br/>
      </w:r>
      <w:r>
        <w:rPr>
          <w:rFonts w:ascii="Times New Roman"/>
          <w:b w:val="false"/>
          <w:i w:val="false"/>
          <w:color w:val="000000"/>
          <w:sz w:val="28"/>
        </w:rPr>
        <w:t>
          (c) Расходами, общими для Союзов, считаются такие, которые не 
относятся исключительно к данному Специальному союзу, но одновременно к 
одному или нескольким другим Союзам, администрацию которых осуществляет 
Организация. Доля Специального союза в этих общих расходах соответствует 
его заинтересованности в данных расходах.
</w:t>
      </w:r>
      <w:r>
        <w:br/>
      </w:r>
      <w:r>
        <w:rPr>
          <w:rFonts w:ascii="Times New Roman"/>
          <w:b w:val="false"/>
          <w:i w:val="false"/>
          <w:color w:val="000000"/>
          <w:sz w:val="28"/>
        </w:rPr>
        <w:t>
          (2) Бюджет Специального союза принимается с должным учетом требований 
координации с бюджетами других Союзов, администрацию которых осуществляет 
Организация.
</w:t>
      </w:r>
      <w:r>
        <w:br/>
      </w:r>
      <w:r>
        <w:rPr>
          <w:rFonts w:ascii="Times New Roman"/>
          <w:b w:val="false"/>
          <w:i w:val="false"/>
          <w:color w:val="000000"/>
          <w:sz w:val="28"/>
        </w:rPr>
        <w:t>
          (3) Бюджет Специального союза финансируется из следующих источников:
</w:t>
      </w:r>
      <w:r>
        <w:br/>
      </w:r>
      <w:r>
        <w:rPr>
          <w:rFonts w:ascii="Times New Roman"/>
          <w:b w:val="false"/>
          <w:i w:val="false"/>
          <w:color w:val="000000"/>
          <w:sz w:val="28"/>
        </w:rPr>
        <w:t>
          (i) взносов стран Специального союза;
</w:t>
      </w:r>
      <w:r>
        <w:br/>
      </w:r>
      <w:r>
        <w:rPr>
          <w:rFonts w:ascii="Times New Roman"/>
          <w:b w:val="false"/>
          <w:i w:val="false"/>
          <w:color w:val="000000"/>
          <w:sz w:val="28"/>
        </w:rPr>
        <w:t>
          (ii) сборов и платежей за предоставляемые Международным бюро услуги,  
</w:t>
      </w:r>
      <w:r>
        <w:br/>
      </w:r>
      <w:r>
        <w:rPr>
          <w:rFonts w:ascii="Times New Roman"/>
          <w:b w:val="false"/>
          <w:i w:val="false"/>
          <w:color w:val="000000"/>
          <w:sz w:val="28"/>
        </w:rPr>
        <w:t>
                  относящиеся к Специальному союзу;
</w:t>
      </w:r>
      <w:r>
        <w:br/>
      </w:r>
      <w:r>
        <w:rPr>
          <w:rFonts w:ascii="Times New Roman"/>
          <w:b w:val="false"/>
          <w:i w:val="false"/>
          <w:color w:val="000000"/>
          <w:sz w:val="28"/>
        </w:rPr>
        <w:t>
          (iii) поступлений от продажи публикаций Международного бюро,          
</w:t>
      </w:r>
      <w:r>
        <w:br/>
      </w:r>
      <w:r>
        <w:rPr>
          <w:rFonts w:ascii="Times New Roman"/>
          <w:b w:val="false"/>
          <w:i w:val="false"/>
          <w:color w:val="000000"/>
          <w:sz w:val="28"/>
        </w:rPr>
        <w:t>
                  относящихся к Союзу, и от передачи прав на такие публикации;
</w:t>
      </w:r>
      <w:r>
        <w:br/>
      </w:r>
      <w:r>
        <w:rPr>
          <w:rFonts w:ascii="Times New Roman"/>
          <w:b w:val="false"/>
          <w:i w:val="false"/>
          <w:color w:val="000000"/>
          <w:sz w:val="28"/>
        </w:rPr>
        <w:t>
          (iv) даров, завещанных средств и субсидий; 
</w:t>
      </w:r>
      <w:r>
        <w:br/>
      </w:r>
      <w:r>
        <w:rPr>
          <w:rFonts w:ascii="Times New Roman"/>
          <w:b w:val="false"/>
          <w:i w:val="false"/>
          <w:color w:val="000000"/>
          <w:sz w:val="28"/>
        </w:rPr>
        <w:t>
          (v) ренты, процентов и различных других доходов.
</w:t>
      </w:r>
      <w:r>
        <w:br/>
      </w:r>
      <w:r>
        <w:rPr>
          <w:rFonts w:ascii="Times New Roman"/>
          <w:b w:val="false"/>
          <w:i w:val="false"/>
          <w:color w:val="000000"/>
          <w:sz w:val="28"/>
        </w:rPr>
        <w:t>
          (4) (а) Для определения взноса, упомянутого в пункте (3) (i), каждая 
страна Специального союза относится к тому же классу, к которому она 
относится в Парижском союзе по охране промышленной собственности, и 
уплачивает свой годовой взнос на основе того же числа единиц, которое 
устанавливается для данного класса в Парижском союзе.
</w:t>
      </w:r>
      <w:r>
        <w:br/>
      </w:r>
      <w:r>
        <w:rPr>
          <w:rFonts w:ascii="Times New Roman"/>
          <w:b w:val="false"/>
          <w:i w:val="false"/>
          <w:color w:val="000000"/>
          <w:sz w:val="28"/>
        </w:rPr>
        <w:t>
          (b) Годовой взнос каждой страны Специального союза равен сумме, 
относящейся так к общей сумме взносов в бюджет Специального союза, 
подлежащих уплате всеми странами, как количество ее единиц относится к 
общему количеству единиц всех уплачивающих взносы стран.
</w:t>
      </w:r>
      <w:r>
        <w:br/>
      </w:r>
      <w:r>
        <w:rPr>
          <w:rFonts w:ascii="Times New Roman"/>
          <w:b w:val="false"/>
          <w:i w:val="false"/>
          <w:color w:val="000000"/>
          <w:sz w:val="28"/>
        </w:rPr>
        <w:t>
          (c) Взносы причитаются к уплате с первого января каждого года.
</w:t>
      </w:r>
      <w:r>
        <w:br/>
      </w:r>
      <w:r>
        <w:rPr>
          <w:rFonts w:ascii="Times New Roman"/>
          <w:b w:val="false"/>
          <w:i w:val="false"/>
          <w:color w:val="000000"/>
          <w:sz w:val="28"/>
        </w:rPr>
        <w:t>
          (d) Страна, у которой имеется задолженность по уплате взносов, 
утрачивает право голоса в любом органе Специального союза, если сумма ее 
задолженности равна или превышает сумму взносов, причитающихся с нее за 
два полных предыдущих года. Однако любой орган Специального союза может 
разрешить такой стране продолжать пользоваться правом голоса в этом 
органе, если и до тех пор, пока он убежден, что просрочка платежа
произошла в результате исключительных и неизбежных обстоятельств.
</w:t>
      </w:r>
      <w:r>
        <w:br/>
      </w:r>
      <w:r>
        <w:rPr>
          <w:rFonts w:ascii="Times New Roman"/>
          <w:b w:val="false"/>
          <w:i w:val="false"/>
          <w:color w:val="000000"/>
          <w:sz w:val="28"/>
        </w:rPr>
        <w:t>
          (e) 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
</w:t>
      </w:r>
      <w:r>
        <w:br/>
      </w:r>
      <w:r>
        <w:rPr>
          <w:rFonts w:ascii="Times New Roman"/>
          <w:b w:val="false"/>
          <w:i w:val="false"/>
          <w:color w:val="000000"/>
          <w:sz w:val="28"/>
        </w:rPr>
        <w:t>
          (5) Размер сборов и платежей, причитающихся за услуги, 
предоставляемые Международным бюро от имени Специального союза, 
устанавливается Генеральным директором, который докладывает об этом 
Ассамблее.
</w:t>
      </w:r>
      <w:r>
        <w:br/>
      </w:r>
      <w:r>
        <w:rPr>
          <w:rFonts w:ascii="Times New Roman"/>
          <w:b w:val="false"/>
          <w:i w:val="false"/>
          <w:color w:val="000000"/>
          <w:sz w:val="28"/>
        </w:rPr>
        <w:t>
          (6) (а) Специальный союз имеет фонд оборотных средств, который 
составляется из разового платежа, вносимого каждой страной Специального 
союза. Если фонд оборотных средств становится недостаточным, Ассамблея 
решает вопрос о его увеличении.
</w:t>
      </w:r>
      <w:r>
        <w:br/>
      </w:r>
      <w:r>
        <w:rPr>
          <w:rFonts w:ascii="Times New Roman"/>
          <w:b w:val="false"/>
          <w:i w:val="false"/>
          <w:color w:val="000000"/>
          <w:sz w:val="28"/>
        </w:rPr>
        <w:t>
          (b) Размер первоначального платежа каждой страны в упомянутый фонд 
или ее доля в увеличении этого фонда пропорциональны износу этой страны за 
тот год, в который образован фонд или принято решение о его увеличении.
</w:t>
      </w:r>
      <w:r>
        <w:br/>
      </w:r>
      <w:r>
        <w:rPr>
          <w:rFonts w:ascii="Times New Roman"/>
          <w:b w:val="false"/>
          <w:i w:val="false"/>
          <w:color w:val="000000"/>
          <w:sz w:val="28"/>
        </w:rPr>
        <w:t>
          (c) Эта пропорция и условия платежа устанавливаются Ассамблеей по 
предложению Генерального директора после того, как она заслушает мнение 
Координационного комитета Организации.
</w:t>
      </w:r>
      <w:r>
        <w:br/>
      </w:r>
      <w:r>
        <w:rPr>
          <w:rFonts w:ascii="Times New Roman"/>
          <w:b w:val="false"/>
          <w:i w:val="false"/>
          <w:color w:val="000000"/>
          <w:sz w:val="28"/>
        </w:rPr>
        <w:t>
          (7) (а) В соглашении о штаб-квартире, заключаемом со страной, на 
территории которой Организация имеет свою штаб-квартиру, 
предусматривается, что в случаях, когда фонд оборотных средств окажется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
</w:t>
      </w:r>
      <w:r>
        <w:br/>
      </w:r>
      <w:r>
        <w:rPr>
          <w:rFonts w:ascii="Times New Roman"/>
          <w:b w:val="false"/>
          <w:i w:val="false"/>
          <w:color w:val="000000"/>
          <w:sz w:val="28"/>
        </w:rPr>
        <w:t>
          (b) Как страна, упомянутая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который было сделано уведомление.
</w:t>
      </w:r>
      <w:r>
        <w:br/>
      </w:r>
      <w:r>
        <w:rPr>
          <w:rFonts w:ascii="Times New Roman"/>
          <w:b w:val="false"/>
          <w:i w:val="false"/>
          <w:color w:val="000000"/>
          <w:sz w:val="28"/>
        </w:rPr>
        <w:t>
          (8) Финансовая ревизия осуществляется в соответствии с правилами 
финансового регламента одной или несколькими странами Специального союза 
или внешними ревизорами, назначаемыми с их согласия Ассамблеей.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Пересмотр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может подвергаться пересмотру время от 
времени на специальных конференциях стран Специального союза.
</w:t>
      </w:r>
      <w:r>
        <w:br/>
      </w:r>
      <w:r>
        <w:rPr>
          <w:rFonts w:ascii="Times New Roman"/>
          <w:b w:val="false"/>
          <w:i w:val="false"/>
          <w:color w:val="000000"/>
          <w:sz w:val="28"/>
        </w:rPr>
        <w:t>
          (2) Решение о созыве конференции по пересмотру принимается Ассамблеей.
</w:t>
      </w:r>
      <w:r>
        <w:br/>
      </w:r>
      <w:r>
        <w:rPr>
          <w:rFonts w:ascii="Times New Roman"/>
          <w:b w:val="false"/>
          <w:i w:val="false"/>
          <w:color w:val="000000"/>
          <w:sz w:val="28"/>
        </w:rPr>
        <w:t>
          (3) Поправки к статьям 7, 8, 9 и 11 могут быть приняты или на 
конференции по пересмотру, или в соответствии с положениями статьи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Поправки к некоторым положениям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Предложения о внесении поправок в статьи 7, 8, 9 и настоящую 
статью могут быть сделаны любой страной Специального союза или Генеральным 
директором. Такие предложения направляются Генеральным директором странам 
Специального союза по меньшей мере за шесть месяцев до рассмотрения их 
Ассамблеей.
</w:t>
      </w:r>
      <w:r>
        <w:br/>
      </w:r>
      <w:r>
        <w:rPr>
          <w:rFonts w:ascii="Times New Roman"/>
          <w:b w:val="false"/>
          <w:i w:val="false"/>
          <w:color w:val="000000"/>
          <w:sz w:val="28"/>
        </w:rPr>
        <w:t>
          (2) Поправки к статьям, предусмотренным в пункте (1), принимаются 
Ассамблеей, для чего требуется большинство в три четверти поданных 
голосов; однако любая поправка к статье 7 и к данному пункту принимается 
большинством в четыре пятых поданных голосов.
</w:t>
      </w:r>
      <w:r>
        <w:br/>
      </w:r>
      <w:r>
        <w:rPr>
          <w:rFonts w:ascii="Times New Roman"/>
          <w:b w:val="false"/>
          <w:i w:val="false"/>
          <w:color w:val="000000"/>
          <w:sz w:val="28"/>
        </w:rPr>
        <w:t>
          (3) (а) 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Специального союза во время принятия этой 
поправки.
</w:t>
      </w:r>
      <w:r>
        <w:br/>
      </w:r>
      <w:r>
        <w:rPr>
          <w:rFonts w:ascii="Times New Roman"/>
          <w:b w:val="false"/>
          <w:i w:val="false"/>
          <w:color w:val="000000"/>
          <w:sz w:val="28"/>
        </w:rPr>
        <w:t>
          (b) Любая поправка к указанным статьям, принятая таким образом, 
обязательна для всех стран, которые являются членами Специального союза во 
время вступления поправки в силу; однако любая поправка, увеличивающая 
финансовые обязательства стран Специального союза, является обязательной 
только для тех стран, которые уведомили о принятии ими такой поправки.
</w:t>
      </w:r>
      <w:r>
        <w:br/>
      </w:r>
      <w:r>
        <w:rPr>
          <w:rFonts w:ascii="Times New Roman"/>
          <w:b w:val="false"/>
          <w:i w:val="false"/>
          <w:color w:val="000000"/>
          <w:sz w:val="28"/>
        </w:rPr>
        <w:t>
          (c) Любая поправка, принятая в соответствии с положениями подпункта 
(а), обязательна для всех стран, которые становятся членами Специального 
союза после даты, на которую упомянутая поправка вступила в силу в 
соответствии с положениями подпункта (а).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Участие в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страна-участница Парижской конвенции по охране 
промышленной собственности может стать стороной настоящего Соглашения 
путем:
</w:t>
      </w:r>
      <w:r>
        <w:br/>
      </w:r>
      <w:r>
        <w:rPr>
          <w:rFonts w:ascii="Times New Roman"/>
          <w:b w:val="false"/>
          <w:i w:val="false"/>
          <w:color w:val="000000"/>
          <w:sz w:val="28"/>
        </w:rPr>
        <w:t>
          (i) подписания Соглашения с последующей сдачей на хранение            
</w:t>
      </w:r>
      <w:r>
        <w:br/>
      </w:r>
      <w:r>
        <w:rPr>
          <w:rFonts w:ascii="Times New Roman"/>
          <w:b w:val="false"/>
          <w:i w:val="false"/>
          <w:color w:val="000000"/>
          <w:sz w:val="28"/>
        </w:rPr>
        <w:t>
                  ратификационной грамоты, или 
</w:t>
      </w:r>
      <w:r>
        <w:br/>
      </w:r>
      <w:r>
        <w:rPr>
          <w:rFonts w:ascii="Times New Roman"/>
          <w:b w:val="false"/>
          <w:i w:val="false"/>
          <w:color w:val="000000"/>
          <w:sz w:val="28"/>
        </w:rPr>
        <w:t>
          (ii) сдачи на хранение акта о присоединении к Соглашению.
</w:t>
      </w:r>
      <w:r>
        <w:br/>
      </w:r>
      <w:r>
        <w:rPr>
          <w:rFonts w:ascii="Times New Roman"/>
          <w:b w:val="false"/>
          <w:i w:val="false"/>
          <w:color w:val="000000"/>
          <w:sz w:val="28"/>
        </w:rPr>
        <w:t>
          (2) Ратификационные грамоты или акты о присоединении сдаются на 
хранение Генеральному директору.
</w:t>
      </w:r>
      <w:r>
        <w:br/>
      </w:r>
      <w:r>
        <w:rPr>
          <w:rFonts w:ascii="Times New Roman"/>
          <w:b w:val="false"/>
          <w:i w:val="false"/>
          <w:color w:val="000000"/>
          <w:sz w:val="28"/>
        </w:rPr>
        <w:t>
          (3) Положения статьи 24 Стокгольмского акта Парижской конвенции по 
охране промышленной собственности применяются к настоящему Соглашению.
</w:t>
      </w:r>
      <w:r>
        <w:br/>
      </w:r>
      <w:r>
        <w:rPr>
          <w:rFonts w:ascii="Times New Roman"/>
          <w:b w:val="false"/>
          <w:i w:val="false"/>
          <w:color w:val="000000"/>
          <w:sz w:val="28"/>
        </w:rPr>
        <w:t>
          (4) Пункт (3) ни в коем случае не должен истолковываться как 
означающий молчаливое признание или принятие какой-либо страной 
Специального союза фактического положения в отношении территории, к 
которой настоящее Соглашение применяется другой страной в силу указанного 
пункта.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Вступление Соглашения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Настоящее Соглашение вступает в силу через год, после того 
как ратификационные грамоты или акты о присоединении сданы на хранение:
</w:t>
      </w:r>
      <w:r>
        <w:br/>
      </w:r>
      <w:r>
        <w:rPr>
          <w:rFonts w:ascii="Times New Roman"/>
          <w:b w:val="false"/>
          <w:i w:val="false"/>
          <w:color w:val="000000"/>
          <w:sz w:val="28"/>
        </w:rPr>
        <w:t>
          (i) двумя третями стран, являющихся участницами Европейской           
</w:t>
      </w:r>
      <w:r>
        <w:br/>
      </w:r>
      <w:r>
        <w:rPr>
          <w:rFonts w:ascii="Times New Roman"/>
          <w:b w:val="false"/>
          <w:i w:val="false"/>
          <w:color w:val="000000"/>
          <w:sz w:val="28"/>
        </w:rPr>
        <w:t>
                  конвенции, на дату, когда настоящее Соглашение открыто для        
</w:t>
      </w:r>
      <w:r>
        <w:br/>
      </w:r>
      <w:r>
        <w:rPr>
          <w:rFonts w:ascii="Times New Roman"/>
          <w:b w:val="false"/>
          <w:i w:val="false"/>
          <w:color w:val="000000"/>
          <w:sz w:val="28"/>
        </w:rPr>
        <w:t>
                  подписания, и
</w:t>
      </w:r>
      <w:r>
        <w:br/>
      </w:r>
      <w:r>
        <w:rPr>
          <w:rFonts w:ascii="Times New Roman"/>
          <w:b w:val="false"/>
          <w:i w:val="false"/>
          <w:color w:val="000000"/>
          <w:sz w:val="28"/>
        </w:rPr>
        <w:t>
          (ii) тремя странами-участницами Парижской конвенции по охране       
</w:t>
      </w:r>
      <w:r>
        <w:br/>
      </w:r>
      <w:r>
        <w:rPr>
          <w:rFonts w:ascii="Times New Roman"/>
          <w:b w:val="false"/>
          <w:i w:val="false"/>
          <w:color w:val="000000"/>
          <w:sz w:val="28"/>
        </w:rPr>
        <w:t>
                  промышленной собственности, которые не являлись прежде
</w:t>
      </w:r>
      <w:r>
        <w:br/>
      </w:r>
      <w:r>
        <w:rPr>
          <w:rFonts w:ascii="Times New Roman"/>
          <w:b w:val="false"/>
          <w:i w:val="false"/>
          <w:color w:val="000000"/>
          <w:sz w:val="28"/>
        </w:rPr>
        <w:t>
                  участницами Европейской конвенции и по меньшей мере одна из       
</w:t>
      </w:r>
      <w:r>
        <w:br/>
      </w:r>
      <w:r>
        <w:rPr>
          <w:rFonts w:ascii="Times New Roman"/>
          <w:b w:val="false"/>
          <w:i w:val="false"/>
          <w:color w:val="000000"/>
          <w:sz w:val="28"/>
        </w:rPr>
        <w:t>
                  которых является страной, где количество поданных заявок на       
</w:t>
      </w:r>
      <w:r>
        <w:br/>
      </w:r>
      <w:r>
        <w:rPr>
          <w:rFonts w:ascii="Times New Roman"/>
          <w:b w:val="false"/>
          <w:i w:val="false"/>
          <w:color w:val="000000"/>
          <w:sz w:val="28"/>
        </w:rPr>
        <w:t>
                  патенты или авторские свидетельства, согласно последним ежегодным 
</w:t>
      </w:r>
      <w:r>
        <w:br/>
      </w:r>
      <w:r>
        <w:rPr>
          <w:rFonts w:ascii="Times New Roman"/>
          <w:b w:val="false"/>
          <w:i w:val="false"/>
          <w:color w:val="000000"/>
          <w:sz w:val="28"/>
        </w:rPr>
        <w:t>
                  статистическим данным, опубликованным Международным бюро на дату  
</w:t>
      </w:r>
      <w:r>
        <w:br/>
      </w:r>
      <w:r>
        <w:rPr>
          <w:rFonts w:ascii="Times New Roman"/>
          <w:b w:val="false"/>
          <w:i w:val="false"/>
          <w:color w:val="000000"/>
          <w:sz w:val="28"/>
        </w:rPr>
        <w:t>
                  сдачи на хранение ратификационной грамоты или акта о              
</w:t>
      </w:r>
      <w:r>
        <w:br/>
      </w:r>
      <w:r>
        <w:rPr>
          <w:rFonts w:ascii="Times New Roman"/>
          <w:b w:val="false"/>
          <w:i w:val="false"/>
          <w:color w:val="000000"/>
          <w:sz w:val="28"/>
        </w:rPr>
        <w:t>
                  присоединении, превысило 40 тысяч.
</w:t>
      </w:r>
      <w:r>
        <w:br/>
      </w:r>
      <w:r>
        <w:rPr>
          <w:rFonts w:ascii="Times New Roman"/>
          <w:b w:val="false"/>
          <w:i w:val="false"/>
          <w:color w:val="000000"/>
          <w:sz w:val="28"/>
        </w:rPr>
        <w:t>
          (b) В отношении любой страны, не входящей в число стран, для которых 
настоящее Соглашение вступает в силу в соответствии с подпунктом (а), 
Соглашение вступает в силу через год после даты, на которую Генеральным 
директором было сделано уведомление о ее ратификации или присоединении, 
если только в ратификационной грамоте или акте о присоединении не была 
указана более поздняя дата. В последнем случае настоящее Соглашение 
вступает в силу в отношении этой страны на указанную таким образом дату.
</w:t>
      </w:r>
      <w:r>
        <w:br/>
      </w:r>
      <w:r>
        <w:rPr>
          <w:rFonts w:ascii="Times New Roman"/>
          <w:b w:val="false"/>
          <w:i w:val="false"/>
          <w:color w:val="000000"/>
          <w:sz w:val="28"/>
        </w:rPr>
        <w:t>
          (c) Страны-участницы Европейской конвенции, которые ратифицируют 
настоящее Соглашение или присоединяются к нему, обязаны денонсировать 
упомянутую Конвенцию при условии вступления денонсации в силу не позже чем 
на дату, на которую настоящее Соглашение вступает в силу в отношении этих 
стран.
</w:t>
      </w:r>
      <w:r>
        <w:br/>
      </w:r>
      <w:r>
        <w:rPr>
          <w:rFonts w:ascii="Times New Roman"/>
          <w:b w:val="false"/>
          <w:i w:val="false"/>
          <w:color w:val="000000"/>
          <w:sz w:val="28"/>
        </w:rPr>
        <w:t>
          (2) Ратификация или присоединение автоматически влекут за собой 
признание всех положений и получение всех преимуществ, устанавливаемых 
настоящим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Срок действия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имеет тот же срок действия, который имеет 
Парижская конвенция по охране промышленной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Денонсация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страна Специального союза может денонсировать настоящее 
Соглашение путем уведомления, направленного Генеральному директору. 
</w:t>
      </w:r>
      <w:r>
        <w:br/>
      </w:r>
      <w:r>
        <w:rPr>
          <w:rFonts w:ascii="Times New Roman"/>
          <w:b w:val="false"/>
          <w:i w:val="false"/>
          <w:color w:val="000000"/>
          <w:sz w:val="28"/>
        </w:rPr>
        <w:t>
          (2) Денонсация вступает в силу через год со дня получения уведомления 
Генеральным директором.
</w:t>
      </w:r>
      <w:r>
        <w:br/>
      </w:r>
      <w:r>
        <w:rPr>
          <w:rFonts w:ascii="Times New Roman"/>
          <w:b w:val="false"/>
          <w:i w:val="false"/>
          <w:color w:val="000000"/>
          <w:sz w:val="28"/>
        </w:rPr>
        <w:t>
          (3) Предусмотренное настоящей статьей право денонсации не может быть 
использовано никакой страной до истечения пяти лет, считая с даты, на 
которую она стала членом Специального союза.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Подписание, языки, уведомление, функции депозитария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 Настоящее Соглашение подписывается в одном экземпляре на 
английском и французском языках, причем оба текста являются полностью 
аутентичными.
</w:t>
      </w:r>
      <w:r>
        <w:br/>
      </w:r>
      <w:r>
        <w:rPr>
          <w:rFonts w:ascii="Times New Roman"/>
          <w:b w:val="false"/>
          <w:i w:val="false"/>
          <w:color w:val="000000"/>
          <w:sz w:val="28"/>
        </w:rPr>
        <w:t>
          (b) Настоящее Соглашение открыто для подписания в Страсбурге до 30 
сентября 1971 года.
</w:t>
      </w:r>
      <w:r>
        <w:br/>
      </w:r>
      <w:r>
        <w:rPr>
          <w:rFonts w:ascii="Times New Roman"/>
          <w:b w:val="false"/>
          <w:i w:val="false"/>
          <w:color w:val="000000"/>
          <w:sz w:val="28"/>
        </w:rPr>
        <w:t>
          (c) Подлинный текст настоящего Соглашения, после того как он закрыт 
для подписания, хранится у Генерального директора.
</w:t>
      </w:r>
      <w:r>
        <w:br/>
      </w:r>
      <w:r>
        <w:rPr>
          <w:rFonts w:ascii="Times New Roman"/>
          <w:b w:val="false"/>
          <w:i w:val="false"/>
          <w:color w:val="000000"/>
          <w:sz w:val="28"/>
        </w:rPr>
        <w:t>
          (2) Официальные тексты вырабатываются Генеральным директором после 
консультаций с заинтересованными правительствами на испанском, немецком, 
португальском, русском и японском языках, а также на других языках, 
которые определит Ассамблея.
</w:t>
      </w:r>
      <w:r>
        <w:br/>
      </w:r>
      <w:r>
        <w:rPr>
          <w:rFonts w:ascii="Times New Roman"/>
          <w:b w:val="false"/>
          <w:i w:val="false"/>
          <w:color w:val="000000"/>
          <w:sz w:val="28"/>
        </w:rPr>
        <w:t>
          (3) (а) Генеральный директор направляет две копии подписанного текста 
настоящего Соглашения, должным образом заверенные им, правительствам всех 
стран, которые его подписали, и, по запросу, правительству любой другой 
страны. Генеральный директор направляет также одну копию, должным образом 
заверенную им, Генеральному секретарю Европейского Совета.
</w:t>
      </w:r>
      <w:r>
        <w:br/>
      </w:r>
      <w:r>
        <w:rPr>
          <w:rFonts w:ascii="Times New Roman"/>
          <w:b w:val="false"/>
          <w:i w:val="false"/>
          <w:color w:val="000000"/>
          <w:sz w:val="28"/>
        </w:rPr>
        <w:t>
          (b) Генеральный директор направляет две копии любой поправки к 
настоящему Соглашению, должным образом заверенные им, правительствам всех 
стран Специального союза и, по запросу, правительству любой другой страны. 
Генеральный директор направляет также одну копию, должным образом 
заверенную им, Генеральному секретарю Европейского Совета.
</w:t>
      </w:r>
      <w:r>
        <w:br/>
      </w:r>
      <w:r>
        <w:rPr>
          <w:rFonts w:ascii="Times New Roman"/>
          <w:b w:val="false"/>
          <w:i w:val="false"/>
          <w:color w:val="000000"/>
          <w:sz w:val="28"/>
        </w:rPr>
        <w:t>
          (с) Генеральный директор предоставляет, по запросу, правительству 
любой страны, подписавшей настоящее Соглашение или присоединившейся к 
нему, должным образом заверенную им копию Классификации, на английском или 
французском языках.
</w:t>
      </w:r>
      <w:r>
        <w:br/>
      </w:r>
      <w:r>
        <w:rPr>
          <w:rFonts w:ascii="Times New Roman"/>
          <w:b w:val="false"/>
          <w:i w:val="false"/>
          <w:color w:val="000000"/>
          <w:sz w:val="28"/>
        </w:rPr>
        <w:t>
          (4) Генеральный директор зарегистрирует настоящее Соглашение в 
Секретариате Организации Объединенных Наций.
</w:t>
      </w:r>
      <w:r>
        <w:br/>
      </w:r>
      <w:r>
        <w:rPr>
          <w:rFonts w:ascii="Times New Roman"/>
          <w:b w:val="false"/>
          <w:i w:val="false"/>
          <w:color w:val="000000"/>
          <w:sz w:val="28"/>
        </w:rPr>
        <w:t>
          (5) Генеральный директор уведомляет правительства всех стран- 
участниц Парижской конвенции по охране промышленной собственности и 
Генерального секретаря Европейского Совета:
</w:t>
      </w:r>
      <w:r>
        <w:br/>
      </w:r>
      <w:r>
        <w:rPr>
          <w:rFonts w:ascii="Times New Roman"/>
          <w:b w:val="false"/>
          <w:i w:val="false"/>
          <w:color w:val="000000"/>
          <w:sz w:val="28"/>
        </w:rPr>
        <w:t>
          (i) о подписаниях; 
</w:t>
      </w:r>
      <w:r>
        <w:br/>
      </w:r>
      <w:r>
        <w:rPr>
          <w:rFonts w:ascii="Times New Roman"/>
          <w:b w:val="false"/>
          <w:i w:val="false"/>
          <w:color w:val="000000"/>
          <w:sz w:val="28"/>
        </w:rPr>
        <w:t>
          (ii) о сдаче на хранение ратификационных грамот или актов о           
</w:t>
      </w:r>
      <w:r>
        <w:br/>
      </w:r>
      <w:r>
        <w:rPr>
          <w:rFonts w:ascii="Times New Roman"/>
          <w:b w:val="false"/>
          <w:i w:val="false"/>
          <w:color w:val="000000"/>
          <w:sz w:val="28"/>
        </w:rPr>
        <w:t>
                  присоединении;
</w:t>
      </w:r>
      <w:r>
        <w:br/>
      </w:r>
      <w:r>
        <w:rPr>
          <w:rFonts w:ascii="Times New Roman"/>
          <w:b w:val="false"/>
          <w:i w:val="false"/>
          <w:color w:val="000000"/>
          <w:sz w:val="28"/>
        </w:rPr>
        <w:t>
          (iii) о дате вступления в силу настоящего Соглашения; 
</w:t>
      </w:r>
      <w:r>
        <w:br/>
      </w:r>
      <w:r>
        <w:rPr>
          <w:rFonts w:ascii="Times New Roman"/>
          <w:b w:val="false"/>
          <w:i w:val="false"/>
          <w:color w:val="000000"/>
          <w:sz w:val="28"/>
        </w:rPr>
        <w:t>
          (iv) об оговорках по использованию Классификации; 
</w:t>
      </w:r>
      <w:r>
        <w:br/>
      </w:r>
      <w:r>
        <w:rPr>
          <w:rFonts w:ascii="Times New Roman"/>
          <w:b w:val="false"/>
          <w:i w:val="false"/>
          <w:color w:val="000000"/>
          <w:sz w:val="28"/>
        </w:rPr>
        <w:t>
          (v) о принятии поправок к настоящему Соглашению; 
</w:t>
      </w:r>
      <w:r>
        <w:br/>
      </w:r>
      <w:r>
        <w:rPr>
          <w:rFonts w:ascii="Times New Roman"/>
          <w:b w:val="false"/>
          <w:i w:val="false"/>
          <w:color w:val="000000"/>
          <w:sz w:val="28"/>
        </w:rPr>
        <w:t>
          (vi) о датах, на которые такие поправки вступают в силу; 
</w:t>
      </w:r>
      <w:r>
        <w:br/>
      </w:r>
      <w:r>
        <w:rPr>
          <w:rFonts w:ascii="Times New Roman"/>
          <w:b w:val="false"/>
          <w:i w:val="false"/>
          <w:color w:val="000000"/>
          <w:sz w:val="28"/>
        </w:rPr>
        <w:t>
          (vii) о полученных денонсациях.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Переходные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течение двух лет после вступления в силу настоящего Соглашения 
страны-участницы Европейской конвенции, которые еще не являются членами 
Специального союза, могут пользоваться, если они этого пожелают, такими же 
правами в Комитете экспертов, как если бы они были членами Специального 
союза.
</w:t>
      </w:r>
      <w:r>
        <w:br/>
      </w:r>
      <w:r>
        <w:rPr>
          <w:rFonts w:ascii="Times New Roman"/>
          <w:b w:val="false"/>
          <w:i w:val="false"/>
          <w:color w:val="000000"/>
          <w:sz w:val="28"/>
        </w:rPr>
        <w:t>
          (2) В течение трех лет после истечения срока, упомянутого в пункте 
(1), страны, упомянутые в названном пункте, могут быть представлены 
наблюдателями на заседаниях Комитета экспертов, а если названный Комитет 
постановит, то и в любом подкомитете или рабочей группе, созданной им. В 
течение этого же периода эти страны могут вносить изменения в 
Классификацию в соответствии со статьей 5(5) и должны уведомляться о 
решениях и рекомендациях Комитета экспертов в соответствии со статьей 6(1).
</w:t>
      </w:r>
      <w:r>
        <w:br/>
      </w:r>
      <w:r>
        <w:rPr>
          <w:rFonts w:ascii="Times New Roman"/>
          <w:b w:val="false"/>
          <w:i w:val="false"/>
          <w:color w:val="000000"/>
          <w:sz w:val="28"/>
        </w:rPr>
        <w:t>
          (3) В течение пяти лет после вступления в силу настоящего Соглашения 
стороны-участницы Европейской конвенции, которые еще не являются членами 
Специального союза, могут быть представлены наблюдателями на заседаниях 
Ассамблеи, а если Ассамблея постановит, то и в любом комитете или рабочей 
группе, созданной ею.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Умбетова А.М.,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