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9c4d" w14:textId="c8b9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Протокола, касающегося изменения Конвенции о международной гражданской авиации (Статья 83 bis)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мая 2001 года N 188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Протокол, касающийся изменения Конвенции о международной гражданской авиации (Статья 83 bis), совершенный в Монреале 6 октября 1980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Протокол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касающийся изменения Конвенции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международной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(Статья 83 bis)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подписан в Монреале 6 октября 1980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Международная организация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 Международной организации гражданской авиации,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Собравшись на свою 23-ю сессию в Монреале 6 октября 1980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резолюции А21-22 и А22-28 об аренде, фрахтований воздушных судов и обмене ими при выполнении международных полетов,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проект поправки к Конвенции о международной гражданской авиации, подготовленный 23-й сессией Юридического комитета,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Отметив, что Договаривающиеся государства выражают общее желание выработать положение о передаче определенных функций и обязанностей государством регистрации государству эксплуатанта воздушного судна в случае аренды, фрахтования воздушных судов и обмена ими или каких-либо подобных действий в отношении таких воздушных судов,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изменить в вышеуказанных целях </w:t>
      </w:r>
      <w:r>
        <w:rPr>
          <w:rFonts w:ascii="Times New Roman"/>
          <w:b w:val="false"/>
          <w:i w:val="false"/>
          <w:color w:val="000000"/>
          <w:sz w:val="28"/>
        </w:rPr>
        <w:t xml:space="preserve">B926300_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Конвенцию о международной гражданской авиации, заключенную в Чикаго 7 декабря 1944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Утверждает, в соответствии с положениями Статьи 94 а) вышеупомянутой Конвенции, следующую предложенную поправку к указанной Конвенции: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после Статьи 83 следующую новую Статью 83 bis: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"Статья 83 bis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определенных функций и обязанностей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Несмотря на положения Статей 12, 30, 31 и 32 а), в том случае, когда воздушное судно, зарегистрированное в Договаривающемся государстве, эксплуатируется в соответствии с договором аренды, фрахтования или взаимного обмена воздушными судами или в соответствии с любым подобным договором эксплуатантом, основное место деятельности которого или, если он не имеет такого места деятельности, постоянное местопребывание которого находится в другом Договаривающемся государстве, (государство регистрации может по соглашению с таким другим государством передать ему все или часть своих функций и обязанностей как государства регистрации в отношении этого воздушного судна, предусмотренных Статьями 12, 30, 31 и 32 а). Государство регистрации освобождается от ответственности в отношении переданных функций и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Передача не будет иметь действия в отношении других Договаривающихся государств до тех пор, пока соглашение между государствами, в котором передача предусматривается, не будет зарегистрировано в Совете и опубликовано в соответствии со Статьей 83 или до того, как о существовании и предмете соглашения не будет непосредственно сообщено властям другого заинтересованного Договаривающегося государства или государств государством - стороной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Положения пунктов а) и b), упомянутых выше, также применяются к случаям, предусмотренным Статьей 77.",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Устанавливает, в соответствии с положениями упомянутой статьи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названной Конвенции, что вышеупомянутая поправка вступает в силу после ее ратификации девяносто восемью Договаривающимися государствами,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Постановляет, чтобы Генеральный секретарь Международной организации гражданской авиации составил Протокол на русском, английском, испанском и французском языках, тексты которого являются равно аутентичными и включают вышеупомянутую поправку и излагаемые ниже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Протокол подписывается Председателем Ассамблеи и ее Генеральным секретарем;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Протокол открыт для ратификации любым государством, которое ратифицировало упомянутую Конвенцию о международной гражданской авиации или присоединилось к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ратификационные грамоты сдаются на хранение Международной организации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Протокол вступает в силу в отношении государств, которые ратифицировали его, в день сдачи на хранение девяносто восьмой ратификационной грамоты;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Генеральный секретарь немедленно уведомляет все Договаривающиеся государства о дате сдачи на хранение каждого документа о ратификации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Генеральный секретарь немедленно уведомляет все государства - участники упомянутой Конвенции о дате вступления Протокола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в отношении любого Договаривающегося государства, ратифицировавшего Протокол после вышеуказанной даты, Протокол вступает в силу после сдачи им на хранение своей ратификационной грамоты в Международную организацию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этого в соответствии с вышеуказанными действиями Ассамблеи.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был составлен Генеральным секретарем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Председатель и Генеральный секретарь вышеупомянутой двадцать третьей сессии Ассамблеи Международной организации гражданской авиации, уполномоченные на то Ассамблеей, подписали настоящий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Монреале шестого дня октября месяца одна тысяча девятьсот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восьмидесятого года в виде одного документа на русском, английском,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испанском и французском языках, причем текст на каждом из них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равно аутентичным. Настоящий Протокол остается на хранение в архивах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Международной организации гражданской авиации, а заверенная копия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направляется Генеральным секретарем Организации всем государствам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сторонам Конвенции о международной гражданской авиации, совершенной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Чикаго седьмого дня декабря месяца одна тысяча девятьсот сорок четвертого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                                  Генеральный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23-й сессии Ассамблеи                        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