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5bcb" w14:textId="9d15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ежедневной электронной отчетности банков-кастодианов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14 октября 1999 года N 455. Зарегистрирован в Министерстве юстиции Республики Казахстан 20.10.99г. N 939. Утратило силу - постановлением Правления Национального Банка Республики Казахстан от 21 апреля 2003 года N 136 (V032323)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оперативного контроля за состоянием пенсионных активов и на основании пункта 31 
</w:t>
      </w:r>
      <w:r>
        <w:rPr>
          <w:rFonts w:ascii="Times New Roman"/>
          <w:b w:val="false"/>
          <w:i w:val="false"/>
          <w:color w:val="000000"/>
          <w:sz w:val="28"/>
        </w:rPr>
        <w:t xml:space="preserve"> Положения </w:t>
      </w:r>
      <w:r>
        <w:rPr>
          <w:rFonts w:ascii="Times New Roman"/>
          <w:b w:val="false"/>
          <w:i w:val="false"/>
          <w:color w:val="000000"/>
          <w:sz w:val="28"/>
        </w:rPr>
        <w:t>
 о лицензировании кастодиальной деятельности на рынке ценных бумаг, утвержденного постановлением Правительства Республики Казахстан от 4 марта 1997 года N 293, Директорат Национальной комиссии Республики Казахстан по ценным бумагам (далее именуемой "Национальная комиссия") постановляет: 
</w:t>
      </w:r>
      <w:r>
        <w:br/>
      </w:r>
      <w:r>
        <w:rPr>
          <w:rFonts w:ascii="Times New Roman"/>
          <w:b w:val="false"/>
          <w:i w:val="false"/>
          <w:color w:val="000000"/>
          <w:sz w:val="28"/>
        </w:rPr>
        <w:t>
</w:t>
      </w:r>
      <w:r>
        <w:rPr>
          <w:rFonts w:ascii="Times New Roman"/>
          <w:b w:val="false"/>
          <w:i w:val="false"/>
          <w:color w:val="000000"/>
          <w:sz w:val="28"/>
        </w:rPr>
        <w:t>
      1. Утвердить Правила ежедневной электронной отчетности банков-кастодианов накопительных пенсионных фондов (прилагаются). 
</w:t>
      </w:r>
      <w:r>
        <w:br/>
      </w:r>
      <w:r>
        <w:rPr>
          <w:rFonts w:ascii="Times New Roman"/>
          <w:b w:val="false"/>
          <w:i w:val="false"/>
          <w:color w:val="000000"/>
          <w:sz w:val="28"/>
        </w:rPr>
        <w:t>
</w:t>
      </w:r>
      <w:r>
        <w:rPr>
          <w:rFonts w:ascii="Times New Roman"/>
          <w:b w:val="false"/>
          <w:i w:val="false"/>
          <w:color w:val="000000"/>
          <w:sz w:val="28"/>
        </w:rPr>
        <w:t>
      2. Установить, что банки-кастодианы накопительных пенсионных фондов (включая Национальный Банк Республики Казахстан как банк-кастодиан ЗАО "Государственный накопительный пенсионный фонд") должны начать предоставление ежедневной электронной отчетности в соответствии с вышеуказанными Правилами в тестовом режиме, начиная с 18 октября 1999 года. 
</w:t>
      </w:r>
      <w:r>
        <w:br/>
      </w:r>
      <w:r>
        <w:rPr>
          <w:rFonts w:ascii="Times New Roman"/>
          <w:b w:val="false"/>
          <w:i w:val="false"/>
          <w:color w:val="000000"/>
          <w:sz w:val="28"/>
        </w:rPr>
        <w:t>
      3. Обязать банки-кастодианы накопительных пенсионных фондов (включая Национальный Банк Республики Казахстан как банк-кастодиан ЗАО "Государственный накопительный пенсионный фонд") в срок до 1 декабря 1999 года модернизировать свои программно-технические комплексы в целях бесперебойного, полного и достоверного предоставления ежедневной электронной отчетности в соответствии с вышеуказанными Правилами. 
</w:t>
      </w:r>
      <w:r>
        <w:br/>
      </w:r>
      <w:r>
        <w:rPr>
          <w:rFonts w:ascii="Times New Roman"/>
          <w:b w:val="false"/>
          <w:i w:val="false"/>
          <w:color w:val="000000"/>
          <w:sz w:val="28"/>
        </w:rPr>
        <w:t>
</w:t>
      </w:r>
      <w:r>
        <w:rPr>
          <w:rFonts w:ascii="Times New Roman"/>
          <w:b w:val="false"/>
          <w:i w:val="false"/>
          <w:color w:val="000000"/>
          <w:sz w:val="28"/>
        </w:rPr>
        <w:t>
      4. Установить, что дата, с которой ежедневная электронная отчетность будет предоставляться в соответствии с вышеуказанными Правилами в режиме рабочей эксплуатации, будет определена отдельным постановлением Директората Национальной комиссии. 
</w:t>
      </w:r>
      <w:r>
        <w:br/>
      </w:r>
      <w:r>
        <w:rPr>
          <w:rFonts w:ascii="Times New Roman"/>
          <w:b w:val="false"/>
          <w:i w:val="false"/>
          <w:color w:val="000000"/>
          <w:sz w:val="28"/>
        </w:rPr>
        <w:t>
</w:t>
      </w:r>
      <w:r>
        <w:rPr>
          <w:rFonts w:ascii="Times New Roman"/>
          <w:b w:val="false"/>
          <w:i w:val="false"/>
          <w:color w:val="000000"/>
          <w:sz w:val="28"/>
        </w:rPr>
        <w:t>
      5. Установить, что настоящее Постановление вводится в действие с даты его принятия. 
</w:t>
      </w:r>
      <w:r>
        <w:br/>
      </w:r>
      <w:r>
        <w:rPr>
          <w:rFonts w:ascii="Times New Roman"/>
          <w:b w:val="false"/>
          <w:i w:val="false"/>
          <w:color w:val="000000"/>
          <w:sz w:val="28"/>
        </w:rPr>
        <w:t>
      6. Юридическому управлению центрального аппарата Национальной комиссии направить настоящее Постановление в Министерство юстиции Республики Казахстан в целях его регистрации. 
</w:t>
      </w:r>
      <w:r>
        <w:br/>
      </w:r>
      <w:r>
        <w:rPr>
          <w:rFonts w:ascii="Times New Roman"/>
          <w:b w:val="false"/>
          <w:i w:val="false"/>
          <w:color w:val="000000"/>
          <w:sz w:val="28"/>
        </w:rPr>
        <w:t>
      7. Управлению анализа и стратегии - Службе Председателя центрального аппарата Национальной комиссии довести настоящее Постановление до сведения банков-кастодианов накопительных пенсионных фондов (включая Национальный Банк Республики Казахстан как банк-кастодиан ЗАО "Государственный накопительный пенсионный фонд"), ЗАО "Казахстанская фондовая биржа" (с возложением на него обязанности по доведению настоящего Постановления до сведения его членов) и ЗАО "Центральный депозитарий ценных бумаг". 
</w:t>
      </w:r>
      <w:r>
        <w:br/>
      </w:r>
      <w:r>
        <w:rPr>
          <w:rFonts w:ascii="Times New Roman"/>
          <w:b w:val="false"/>
          <w:i w:val="false"/>
          <w:color w:val="000000"/>
          <w:sz w:val="28"/>
        </w:rPr>
        <w:t>
      8. Отделу пенсионной реформы Управления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до сведения компаний по управлению пенсионными активами,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
</w:t>
      </w:r>
      <w:r>
        <w:br/>
      </w:r>
      <w:r>
        <w:rPr>
          <w:rFonts w:ascii="Times New Roman"/>
          <w:b w:val="false"/>
          <w:i w:val="false"/>
          <w:color w:val="000000"/>
          <w:sz w:val="28"/>
        </w:rPr>
        <w:t>
      2) совместно с Управлением анализа и стратегии - Службой Председателя центрального аппарата Национальной комиссии установить контроль за исполнением настоящего Постановления.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ежедневной электронной отчетности банков-кастодианов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накопительных пенсионных фондов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на основании пункта 31 Положения о лицензировании кастодиальной деятельности на рынке ценных бумаг, утвержденного постановлением Правительства Республики Казахстан от 4 марта 1997 года 
</w:t>
      </w:r>
      <w:r>
        <w:rPr>
          <w:rFonts w:ascii="Times New Roman"/>
          <w:b w:val="false"/>
          <w:i w:val="false"/>
          <w:color w:val="000000"/>
          <w:sz w:val="28"/>
        </w:rPr>
        <w:t xml:space="preserve"> N 293 </w:t>
      </w:r>
      <w:r>
        <w:rPr>
          <w:rFonts w:ascii="Times New Roman"/>
          <w:b w:val="false"/>
          <w:i w:val="false"/>
          <w:color w:val="000000"/>
          <w:sz w:val="28"/>
        </w:rPr>
        <w:t>
, и определяют порядок предоставления банками-кастодианами накопительных пенсионных фондов ежедневной электронной отчетности о состоянии пенсионных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Использованные в настоящих Правилах понятия означают следующее: 
</w:t>
      </w:r>
      <w:r>
        <w:br/>
      </w:r>
      <w:r>
        <w:rPr>
          <w:rFonts w:ascii="Times New Roman"/>
          <w:b w:val="false"/>
          <w:i w:val="false"/>
          <w:color w:val="000000"/>
          <w:sz w:val="28"/>
        </w:rPr>
        <w:t>
      1) "Банк" - банк-кастодиан накопительного пенсионного фонда; 
</w:t>
      </w:r>
      <w:r>
        <w:br/>
      </w:r>
      <w:r>
        <w:rPr>
          <w:rFonts w:ascii="Times New Roman"/>
          <w:b w:val="false"/>
          <w:i w:val="false"/>
          <w:color w:val="000000"/>
          <w:sz w:val="28"/>
        </w:rPr>
        <w:t>
      2) "Национальная комиссия" - Национальная комиссия Республики Казахстан по ценным бумагам; 
</w:t>
      </w:r>
      <w:r>
        <w:br/>
      </w:r>
      <w:r>
        <w:rPr>
          <w:rFonts w:ascii="Times New Roman"/>
          <w:b w:val="false"/>
          <w:i w:val="false"/>
          <w:color w:val="000000"/>
          <w:sz w:val="28"/>
        </w:rPr>
        <w:t>
      3) "Отчетность" - ежедневная электронная отчетность Банков о состоянии пенсионных активов в виде совокупности Типовых форм; 
</w:t>
      </w:r>
      <w:r>
        <w:br/>
      </w:r>
      <w:r>
        <w:rPr>
          <w:rFonts w:ascii="Times New Roman"/>
          <w:b w:val="false"/>
          <w:i w:val="false"/>
          <w:color w:val="000000"/>
          <w:sz w:val="28"/>
        </w:rPr>
        <w:t>
      4) "Справочник" - электронная база данных, используемая Банками при заполнении Типовых форм; 
</w:t>
      </w:r>
      <w:r>
        <w:br/>
      </w:r>
      <w:r>
        <w:rPr>
          <w:rFonts w:ascii="Times New Roman"/>
          <w:b w:val="false"/>
          <w:i w:val="false"/>
          <w:color w:val="000000"/>
          <w:sz w:val="28"/>
        </w:rPr>
        <w:t>
      5) "Типовые формы" - типовые формы ежедневной электронной отчетности Банков о состоянии пенсионных активов. Перечень Типовых форм и их содержание устанавливаются отдельными постановлениями Директората Национальной комиссии. 
</w:t>
      </w:r>
      <w:r>
        <w:br/>
      </w:r>
      <w:r>
        <w:rPr>
          <w:rFonts w:ascii="Times New Roman"/>
          <w:b w:val="false"/>
          <w:i w:val="false"/>
          <w:color w:val="000000"/>
          <w:sz w:val="28"/>
        </w:rPr>
        <w:t>
      2. Отчетность за истекший рабочий день предоставляется Банками Национальной комиссии электронной почтой на следующий рабочий день, не позднее 15.00 алматинского времени. 
</w:t>
      </w:r>
      <w:r>
        <w:br/>
      </w:r>
      <w:r>
        <w:rPr>
          <w:rFonts w:ascii="Times New Roman"/>
          <w:b w:val="false"/>
          <w:i w:val="false"/>
          <w:color w:val="000000"/>
          <w:sz w:val="28"/>
        </w:rPr>
        <w:t>
      В исключительных случаях, при невозможности передачи Отчетности электронной почтой, ее заполненные Типовые формы предоставляются Национальной комиссии на бумажном носителе. При этом каждая отдельная заполненная Типовая форма должна быть подписана первым руководителем (или руководящим работником Банка, курирующим его подразделение, которое осуществляет кастодиальное обслуживание накопительных пенсионных фондов) и главным бухгалтером Банка и заверена оттиском печати Банка. Предоставление заполненных Типовых форм на бумажном носителе не освобождает Банк от обязанности их последующей передачи электронной почтой. 
</w:t>
      </w:r>
      <w:r>
        <w:br/>
      </w:r>
      <w:r>
        <w:rPr>
          <w:rFonts w:ascii="Times New Roman"/>
          <w:b w:val="false"/>
          <w:i w:val="false"/>
          <w:color w:val="000000"/>
          <w:sz w:val="28"/>
        </w:rPr>
        <w:t>
      3. Национальная комиссия обеспечивает Банки: 
</w:t>
      </w:r>
      <w:r>
        <w:br/>
      </w:r>
      <w:r>
        <w:rPr>
          <w:rFonts w:ascii="Times New Roman"/>
          <w:b w:val="false"/>
          <w:i w:val="false"/>
          <w:color w:val="000000"/>
          <w:sz w:val="28"/>
        </w:rPr>
        <w:t>
      1) адресами электронной почты, по которым должна передаваться Отчетность; 
</w:t>
      </w:r>
      <w:r>
        <w:br/>
      </w:r>
      <w:r>
        <w:rPr>
          <w:rFonts w:ascii="Times New Roman"/>
          <w:b w:val="false"/>
          <w:i w:val="false"/>
          <w:color w:val="000000"/>
          <w:sz w:val="28"/>
        </w:rPr>
        <w:t>
      2) Справочниками; 
</w:t>
      </w:r>
      <w:r>
        <w:br/>
      </w:r>
      <w:r>
        <w:rPr>
          <w:rFonts w:ascii="Times New Roman"/>
          <w:b w:val="false"/>
          <w:i w:val="false"/>
          <w:color w:val="000000"/>
          <w:sz w:val="28"/>
        </w:rPr>
        <w:t>
      3) отдельными видами единого для всех Банков специального программного обеспечения, используемого при заполнении Типовых форм и отправке Отчетности, и соответствующей технической документацией; 
</w:t>
      </w:r>
      <w:r>
        <w:br/>
      </w:r>
      <w:r>
        <w:rPr>
          <w:rFonts w:ascii="Times New Roman"/>
          <w:b w:val="false"/>
          <w:i w:val="false"/>
          <w:color w:val="000000"/>
          <w:sz w:val="28"/>
        </w:rPr>
        <w:t>
      4) указаниями и методическими рекомендациями по заполнению Типовых форм и отправке Отчетности. 
</w:t>
      </w:r>
      <w:r>
        <w:br/>
      </w:r>
      <w:r>
        <w:rPr>
          <w:rFonts w:ascii="Times New Roman"/>
          <w:b w:val="false"/>
          <w:i w:val="false"/>
          <w:color w:val="000000"/>
          <w:sz w:val="28"/>
        </w:rPr>
        <w:t>
      4. Национальная комиссия обеспечивает конфиденциальность информации, которая содержится в полученной от Банков Отчетности. В этих целях Председатель Национальной комиссии ограничивает своим приказом круг работников центрального аппарата Национальной комиссии, которые имеют доступ к содержащейся в Отчетности и результатах ее обработки информации, составляющей банковскую, служебную или коммерческую тайну Банков.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заполнения типовых форм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отправки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Для доступа к Справочникам и передачи Отчетности Банк должен получить в Национальной комиссии имя пользователя (имена пользователей) и пароль (пароли), которые могут быть изменены в любое время по письменному заявлению Банка, подписанному первым руководителем (или руководящим работником Банка, курирующим его подразделение, которое осуществляет кастодиальное обслуживание накопительных пенсионных фондов) и главным бухгалтером Банка и заверенному оттиском печати Банка. 
</w:t>
      </w:r>
      <w:r>
        <w:br/>
      </w:r>
      <w:r>
        <w:rPr>
          <w:rFonts w:ascii="Times New Roman"/>
          <w:b w:val="false"/>
          <w:i w:val="false"/>
          <w:color w:val="000000"/>
          <w:sz w:val="28"/>
        </w:rPr>
        <w:t>
      6. Перед заполнением Типовых форм Банк производит обновление Справочников. 
</w:t>
      </w:r>
      <w:r>
        <w:br/>
      </w:r>
      <w:r>
        <w:rPr>
          <w:rFonts w:ascii="Times New Roman"/>
          <w:b w:val="false"/>
          <w:i w:val="false"/>
          <w:color w:val="000000"/>
          <w:sz w:val="28"/>
        </w:rPr>
        <w:t>
      7. После обновления Справочников Банк заполняет Типовые формы согласно полученным от Национальной комиссии указаниям и методическим рекомендациям. При этом: 
</w:t>
      </w:r>
      <w:r>
        <w:br/>
      </w:r>
      <w:r>
        <w:rPr>
          <w:rFonts w:ascii="Times New Roman"/>
          <w:b w:val="false"/>
          <w:i w:val="false"/>
          <w:color w:val="000000"/>
          <w:sz w:val="28"/>
        </w:rPr>
        <w:t>
      1) Типовые формы заполняются в разрезе каждого отдельного накопительного пенсионного фонда; 
</w:t>
      </w:r>
      <w:r>
        <w:br/>
      </w:r>
      <w:r>
        <w:rPr>
          <w:rFonts w:ascii="Times New Roman"/>
          <w:b w:val="false"/>
          <w:i w:val="false"/>
          <w:color w:val="000000"/>
          <w:sz w:val="28"/>
        </w:rPr>
        <w:t>
      2) поля Типовых форм со ссылкой на Справочники заполняются только теми сведениями, которые получены из Справочников; 
</w:t>
      </w:r>
      <w:r>
        <w:br/>
      </w:r>
      <w:r>
        <w:rPr>
          <w:rFonts w:ascii="Times New Roman"/>
          <w:b w:val="false"/>
          <w:i w:val="false"/>
          <w:color w:val="000000"/>
          <w:sz w:val="28"/>
        </w:rPr>
        <w:t>
      3) каждое отдельное движение пенсионных активов должно отражаться в отдельной строке Типовой формы. 
</w:t>
      </w:r>
      <w:r>
        <w:br/>
      </w:r>
      <w:r>
        <w:rPr>
          <w:rFonts w:ascii="Times New Roman"/>
          <w:b w:val="false"/>
          <w:i w:val="false"/>
          <w:color w:val="000000"/>
          <w:sz w:val="28"/>
        </w:rPr>
        <w:t>
      8. По окончании заполнения Типовых форм они проверяются на отсутствие ошибок с использованием собственного программного обеспечения Банка и/или специального программного обеспечения, полученного от Национальной комиссии. 
</w:t>
      </w:r>
      <w:r>
        <w:br/>
      </w:r>
      <w:r>
        <w:rPr>
          <w:rFonts w:ascii="Times New Roman"/>
          <w:b w:val="false"/>
          <w:i w:val="false"/>
          <w:color w:val="000000"/>
          <w:sz w:val="28"/>
        </w:rPr>
        <w:t>
      9. При отсутствии ошибок в Типовых формах Отчетность передается в Национальную комиссию. 
</w:t>
      </w:r>
      <w:r>
        <w:br/>
      </w:r>
      <w:r>
        <w:rPr>
          <w:rFonts w:ascii="Times New Roman"/>
          <w:b w:val="false"/>
          <w:i w:val="false"/>
          <w:color w:val="000000"/>
          <w:sz w:val="28"/>
        </w:rPr>
        <w:t>
      10. В случае последующего (после передачи Отчетности в Национальную комиссию) выявления ошибок в Типовых формах Банк обязан незамедлительно предоставить Национальной комиссии объяснительное письмо за подписью первого руководителя Банка или руководящего работника Банка, курирующего его подразделение, которое осуществляет кастодиальное обслуживание накопительных пенсионных фондов, и передать Национальной комиссии исправленную Отчетность.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